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0"/>
        <w:gridCol w:w="8464"/>
      </w:tblGrid>
      <w:tr w:rsidR="00213630" w:rsidRPr="00ED0B73" w:rsidTr="00047108">
        <w:trPr>
          <w:trHeight w:val="454"/>
        </w:trPr>
        <w:tc>
          <w:tcPr>
            <w:tcW w:w="10774" w:type="dxa"/>
            <w:gridSpan w:val="2"/>
            <w:shd w:val="clear" w:color="auto" w:fill="0086B9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b/>
                <w:color w:val="FFFFFF" w:themeColor="background1"/>
                <w:lang w:eastAsia="pl-PL"/>
              </w:rPr>
            </w:pPr>
            <w:r w:rsidRPr="00ED0B73">
              <w:rPr>
                <w:rFonts w:asciiTheme="minorHAnsi" w:hAnsiTheme="minorHAnsi"/>
                <w:b/>
                <w:color w:val="FFFFFF" w:themeColor="background1"/>
                <w:lang w:eastAsia="pl-PL"/>
              </w:rPr>
              <w:t xml:space="preserve">Wielkopolski Regionalny Program Operacyjny na lata 2014-2020 </w:t>
            </w:r>
          </w:p>
        </w:tc>
      </w:tr>
      <w:tr w:rsidR="00213630" w:rsidRPr="00ED0B73" w:rsidTr="00047108">
        <w:trPr>
          <w:trHeight w:val="454"/>
        </w:trPr>
        <w:tc>
          <w:tcPr>
            <w:tcW w:w="10774" w:type="dxa"/>
            <w:gridSpan w:val="2"/>
            <w:shd w:val="clear" w:color="auto" w:fill="0086B9"/>
            <w:vAlign w:val="center"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b/>
                <w:color w:val="FFFFFF" w:themeColor="background1"/>
                <w:lang w:eastAsia="pl-PL"/>
              </w:rPr>
            </w:pPr>
            <w:r w:rsidRPr="00ED0B73">
              <w:rPr>
                <w:rFonts w:asciiTheme="minorHAnsi" w:hAnsiTheme="minorHAnsi" w:cs="Lucida Sans Unicode"/>
                <w:b/>
                <w:color w:val="FFFFFF" w:themeColor="background1"/>
              </w:rPr>
              <w:t>Poddziałanie 1.5.2 Wzmocnienie konkurencyjności kluczowych obszarów gospodarki regionu</w:t>
            </w:r>
          </w:p>
        </w:tc>
      </w:tr>
      <w:tr w:rsidR="00213630" w:rsidRPr="00ED0B73" w:rsidTr="00047108">
        <w:trPr>
          <w:trHeight w:val="454"/>
        </w:trPr>
        <w:tc>
          <w:tcPr>
            <w:tcW w:w="2310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Beneficjenci:</w:t>
            </w:r>
          </w:p>
        </w:tc>
        <w:tc>
          <w:tcPr>
            <w:tcW w:w="8464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</w:rPr>
              <w:t>Mikro, małe i średnie przedsiębiorstwa (poniżej 250 pracowników, poniżej 50 mln. EUR obrotu lub poniżej 43 mln. EUR aktywów)</w:t>
            </w:r>
          </w:p>
        </w:tc>
      </w:tr>
      <w:tr w:rsidR="00213630" w:rsidRPr="00ED0B73" w:rsidTr="00047108">
        <w:trPr>
          <w:trHeight w:val="454"/>
        </w:trPr>
        <w:tc>
          <w:tcPr>
            <w:tcW w:w="2310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Typ projektów:</w:t>
            </w:r>
          </w:p>
        </w:tc>
        <w:tc>
          <w:tcPr>
            <w:tcW w:w="8464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jc w:val="both"/>
              <w:rPr>
                <w:rFonts w:asciiTheme="minorHAnsi" w:hAnsiTheme="minorHAnsi"/>
              </w:rPr>
            </w:pPr>
            <w:r w:rsidRPr="00ED0B73">
              <w:rPr>
                <w:rFonts w:asciiTheme="minorHAnsi" w:hAnsiTheme="minorHAnsi"/>
              </w:rPr>
              <w:t>Wsparcie wysoko innowacyjnych przedsięwzięć wdrażających innowacje procesowe, produktowe i nietechnologiczne poprzez inwestycje w: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ED0B73">
              <w:rPr>
                <w:rFonts w:asciiTheme="minorHAnsi" w:hAnsiTheme="minorHAnsi"/>
              </w:rPr>
              <w:t xml:space="preserve">środki trwałe, 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ED0B73">
              <w:rPr>
                <w:rFonts w:asciiTheme="minorHAnsi" w:hAnsiTheme="minorHAnsi"/>
              </w:rPr>
              <w:t>wartości niematerialne i prawne (inwestycje w transfer technologii poprzez nabycie praw patentowych, licencji, know-how lub nieopatentowanej wiedzy technicznej).</w:t>
            </w:r>
          </w:p>
        </w:tc>
      </w:tr>
      <w:tr w:rsidR="00213630" w:rsidRPr="00ED0B73" w:rsidTr="00047108">
        <w:trPr>
          <w:trHeight w:val="454"/>
        </w:trPr>
        <w:tc>
          <w:tcPr>
            <w:tcW w:w="2310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kwalifikowane:</w:t>
            </w:r>
          </w:p>
        </w:tc>
        <w:tc>
          <w:tcPr>
            <w:tcW w:w="8464" w:type="dxa"/>
            <w:vAlign w:val="center"/>
            <w:hideMark/>
          </w:tcPr>
          <w:p w:rsidR="00213630" w:rsidRPr="00ED0B73" w:rsidRDefault="00213630" w:rsidP="0021363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Przykładowe koszty kwalifikowalne: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zakupu środków trwałych wraz z montażem;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 xml:space="preserve">koszty zakupu wartości niematerialnych i prawnych wraz </w:t>
            </w:r>
            <w:r w:rsidRPr="00ED0B73">
              <w:rPr>
                <w:rFonts w:asciiTheme="minorHAnsi" w:hAnsiTheme="minorHAnsi"/>
                <w:lang w:eastAsia="pl-PL"/>
              </w:rPr>
              <w:br/>
              <w:t>z wdrożeniem;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prac budowlanych.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7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Niekwalifikowalne są m.in.: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amortyzacji;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zakup środków transportu innych niż samochody specjalne oraz pozostały tabor bezszynowy (rodzaj 743 oraz podgrupa 76 Klasyfikacji Środków Trwałych);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zakupu używanych środków trwałych i wartości niematerialnych i prawnych;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 xml:space="preserve">koszty bieżące, ponoszone przez Wnioskodawcę w związku </w:t>
            </w:r>
            <w:r w:rsidRPr="00ED0B73">
              <w:rPr>
                <w:rFonts w:asciiTheme="minorHAnsi" w:hAnsiTheme="minorHAnsi"/>
                <w:lang w:eastAsia="pl-PL"/>
              </w:rPr>
              <w:br/>
              <w:t>z prowadzoną działalnością (opłata za media, najem/dzierżawa pomieszczeń itd.);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zakupu nieruchomości;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związane z przygotowaniem dokumentacji projektowej;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związane z promocją projektu;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9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koszty osobowe.</w:t>
            </w:r>
          </w:p>
        </w:tc>
      </w:tr>
      <w:tr w:rsidR="00213630" w:rsidRPr="00ED0B73" w:rsidTr="00047108">
        <w:trPr>
          <w:trHeight w:val="989"/>
        </w:trPr>
        <w:tc>
          <w:tcPr>
            <w:tcW w:w="2310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Warunki wsparcia:</w:t>
            </w:r>
          </w:p>
        </w:tc>
        <w:tc>
          <w:tcPr>
            <w:tcW w:w="8464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Maksymalny poziom dofinansowania zgodny z mapą pomocy regionalnej tj.: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do 45% kosztów kwalifikowanych projektu – dla mikro i małych przedsiębiorstw,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5"/>
              </w:numPr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do 35% kosztów kwalifikowanych projektu – dla średnich przedsiębiorstw.</w:t>
            </w:r>
          </w:p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</w:p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 xml:space="preserve">Minimalna wartość dofinansowania projektu: </w:t>
            </w:r>
            <w:r w:rsidR="00ED0B73">
              <w:rPr>
                <w:rFonts w:asciiTheme="minorHAnsi" w:hAnsiTheme="minorHAnsi"/>
                <w:lang w:eastAsia="pl-PL"/>
              </w:rPr>
              <w:t>50</w:t>
            </w:r>
            <w:bookmarkStart w:id="0" w:name="_GoBack"/>
            <w:bookmarkEnd w:id="0"/>
            <w:r w:rsidRPr="00ED0B73">
              <w:rPr>
                <w:rFonts w:asciiTheme="minorHAnsi" w:hAnsiTheme="minorHAnsi"/>
                <w:lang w:eastAsia="pl-PL"/>
              </w:rPr>
              <w:t> 000 PLN</w:t>
            </w:r>
          </w:p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Maksymalna wartość dofinansowania projektu: 5 000 000 PLN.</w:t>
            </w:r>
          </w:p>
        </w:tc>
      </w:tr>
      <w:tr w:rsidR="00213630" w:rsidRPr="00ED0B73" w:rsidTr="00047108">
        <w:trPr>
          <w:trHeight w:val="454"/>
        </w:trPr>
        <w:tc>
          <w:tcPr>
            <w:tcW w:w="2310" w:type="dxa"/>
            <w:vAlign w:val="center"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Termin naboru:</w:t>
            </w:r>
          </w:p>
        </w:tc>
        <w:tc>
          <w:tcPr>
            <w:tcW w:w="8464" w:type="dxa"/>
            <w:vAlign w:val="center"/>
          </w:tcPr>
          <w:p w:rsidR="00213630" w:rsidRPr="00ED0B73" w:rsidRDefault="00213630" w:rsidP="00047108">
            <w:pPr>
              <w:pStyle w:val="Bezodstpw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ED0B73">
              <w:rPr>
                <w:rFonts w:asciiTheme="minorHAnsi" w:hAnsiTheme="minorHAnsi"/>
              </w:rPr>
              <w:t>Sierpień 2018</w:t>
            </w:r>
          </w:p>
        </w:tc>
      </w:tr>
      <w:tr w:rsidR="00213630" w:rsidRPr="00ED0B73" w:rsidTr="00047108">
        <w:trPr>
          <w:trHeight w:val="454"/>
        </w:trPr>
        <w:tc>
          <w:tcPr>
            <w:tcW w:w="2310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Budżet konkursu:</w:t>
            </w:r>
          </w:p>
        </w:tc>
        <w:tc>
          <w:tcPr>
            <w:tcW w:w="8464" w:type="dxa"/>
            <w:vAlign w:val="center"/>
            <w:hideMark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90 mln PLN</w:t>
            </w:r>
          </w:p>
        </w:tc>
      </w:tr>
      <w:tr w:rsidR="00213630" w:rsidRPr="00ED0B73" w:rsidTr="00047108">
        <w:trPr>
          <w:trHeight w:val="454"/>
        </w:trPr>
        <w:tc>
          <w:tcPr>
            <w:tcW w:w="2310" w:type="dxa"/>
            <w:vAlign w:val="center"/>
          </w:tcPr>
          <w:p w:rsidR="00213630" w:rsidRPr="00ED0B73" w:rsidRDefault="00213630" w:rsidP="00047108">
            <w:pPr>
              <w:pStyle w:val="Bezodstpw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eastAsia="Times New Roman" w:hAnsiTheme="minorHAnsi"/>
                <w:lang w:eastAsia="pl-PL"/>
              </w:rPr>
              <w:t>Inne istotne informacje:</w:t>
            </w:r>
          </w:p>
        </w:tc>
        <w:tc>
          <w:tcPr>
            <w:tcW w:w="8464" w:type="dxa"/>
            <w:vAlign w:val="center"/>
          </w:tcPr>
          <w:p w:rsidR="00213630" w:rsidRPr="00ED0B73" w:rsidRDefault="00213630" w:rsidP="00213630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Beneficjenci zobowiązani są zachować cele i trwałość projektu przez okres 3 lat.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 xml:space="preserve">W ramach jednego konkursu dany wnioskodawca może złożyć wniosek </w:t>
            </w:r>
            <w:r w:rsidRPr="00ED0B73">
              <w:rPr>
                <w:rFonts w:asciiTheme="minorHAnsi" w:hAnsiTheme="minorHAnsi"/>
                <w:lang w:eastAsia="pl-PL"/>
              </w:rPr>
              <w:br/>
              <w:t>o dofinansowanie tylko jednego projektu.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lang w:eastAsia="pl-PL"/>
              </w:rPr>
            </w:pPr>
            <w:r w:rsidRPr="00ED0B73">
              <w:rPr>
                <w:rFonts w:asciiTheme="minorHAnsi" w:hAnsiTheme="minorHAnsi"/>
                <w:lang w:eastAsia="pl-PL"/>
              </w:rPr>
              <w:t>Projekt musi być realizowany w granicach administracyjnych województwa wielkopolskiego.</w:t>
            </w:r>
          </w:p>
          <w:p w:rsidR="00213630" w:rsidRPr="00ED0B73" w:rsidRDefault="00213630" w:rsidP="00213630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ED0B73">
              <w:rPr>
                <w:rFonts w:asciiTheme="minorHAnsi" w:hAnsiTheme="minorHAnsi"/>
                <w:b/>
                <w:lang w:eastAsia="pl-PL"/>
              </w:rPr>
              <w:t>Wnioskodawcy ubiegający się o wsparcie w ramach poddziałania 1.5.2 zobowiązani są załączyć opinię o innowacyjności.</w:t>
            </w:r>
          </w:p>
        </w:tc>
      </w:tr>
    </w:tbl>
    <w:p w:rsidR="00C92AD5" w:rsidRPr="00DC19B5" w:rsidRDefault="00C92AD5" w:rsidP="00DC19B5"/>
    <w:sectPr w:rsidR="00C92AD5" w:rsidRPr="00DC19B5" w:rsidSect="0030020B">
      <w:headerReference w:type="even" r:id="rId8"/>
      <w:headerReference w:type="default" r:id="rId9"/>
      <w:footerReference w:type="default" r:id="rId10"/>
      <w:pgSz w:w="11906" w:h="16838"/>
      <w:pgMar w:top="1663" w:right="566" w:bottom="141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D89" w:rsidRDefault="004F5D89" w:rsidP="00A55FBD">
      <w:pPr>
        <w:spacing w:after="0" w:line="240" w:lineRule="auto"/>
      </w:pPr>
      <w:r>
        <w:separator/>
      </w:r>
    </w:p>
  </w:endnote>
  <w:endnote w:type="continuationSeparator" w:id="0">
    <w:p w:rsidR="004F5D89" w:rsidRDefault="004F5D89" w:rsidP="00A5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23" w:rsidRDefault="00145423">
    <w:pPr>
      <w:pStyle w:val="Stopka"/>
    </w:pPr>
    <w:r>
      <w:rPr>
        <w:noProof/>
        <w:lang w:eastAsia="pl-PL"/>
      </w:rPr>
      <w:drawing>
        <wp:inline distT="0" distB="0" distL="0" distR="0">
          <wp:extent cx="6787515" cy="393700"/>
          <wp:effectExtent l="0" t="0" r="0" b="6350"/>
          <wp:docPr id="6" name="Obraz 6" descr="Y:\Firmowe\Firmówka\Metropolis Firmówka 2015 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Firmowe\Firmówka\Metropolis Firmówka 2015 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75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D89" w:rsidRDefault="004F5D89" w:rsidP="00A55FBD">
      <w:pPr>
        <w:spacing w:after="0" w:line="240" w:lineRule="auto"/>
      </w:pPr>
      <w:r>
        <w:separator/>
      </w:r>
    </w:p>
  </w:footnote>
  <w:footnote w:type="continuationSeparator" w:id="0">
    <w:p w:rsidR="004F5D89" w:rsidRDefault="004F5D89" w:rsidP="00A5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D" w:rsidRDefault="00A55FBD" w:rsidP="00A55FBD">
    <w:pPr>
      <w:pStyle w:val="Nagwek"/>
      <w:ind w:lef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D" w:rsidRDefault="00071D80" w:rsidP="00D047CC">
    <w:pPr>
      <w:pStyle w:val="Nagwek"/>
      <w:tabs>
        <w:tab w:val="clear" w:pos="9072"/>
        <w:tab w:val="right" w:pos="10773"/>
      </w:tabs>
    </w:pPr>
    <w:r w:rsidRPr="00071D80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5528732</wp:posOffset>
          </wp:positionH>
          <wp:positionV relativeFrom="paragraph">
            <wp:posOffset>-143510</wp:posOffset>
          </wp:positionV>
          <wp:extent cx="1245793" cy="700444"/>
          <wp:effectExtent l="0" t="0" r="0" b="4445"/>
          <wp:wrapNone/>
          <wp:docPr id="3" name="Obraz 3" descr="Y:\Firmowe\! ISO\ISO 9001_2015\LOGO\DAS 9001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irmowe\! ISO\ISO 9001_2015\LOGO\DAS 9001-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793" cy="7004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5423">
      <w:rPr>
        <w:noProof/>
        <w:lang w:eastAsia="pl-PL"/>
      </w:rPr>
      <w:drawing>
        <wp:inline distT="0" distB="0" distL="0" distR="0">
          <wp:extent cx="4578985" cy="485140"/>
          <wp:effectExtent l="0" t="0" r="0" b="0"/>
          <wp:docPr id="1" name="Obraz 1" descr="Y:\Firmowe\Firmówka\Metropolis Firmówka 2010 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Y:\Firmowe\Firmówka\Metropolis Firmówka 2010 Nagłówek.jpg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9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47CC"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65AB"/>
    <w:multiLevelType w:val="hybridMultilevel"/>
    <w:tmpl w:val="3AC26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33558"/>
    <w:multiLevelType w:val="hybridMultilevel"/>
    <w:tmpl w:val="4D006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B1A34"/>
    <w:multiLevelType w:val="hybridMultilevel"/>
    <w:tmpl w:val="AC64008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D74B9A"/>
    <w:multiLevelType w:val="hybridMultilevel"/>
    <w:tmpl w:val="46E8A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4C413A"/>
    <w:multiLevelType w:val="hybridMultilevel"/>
    <w:tmpl w:val="A4FC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627E"/>
    <w:multiLevelType w:val="hybridMultilevel"/>
    <w:tmpl w:val="90D6DE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702B37"/>
    <w:multiLevelType w:val="hybridMultilevel"/>
    <w:tmpl w:val="7CDA4A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7D1138"/>
    <w:multiLevelType w:val="hybridMultilevel"/>
    <w:tmpl w:val="FC7CA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B0FAE"/>
    <w:multiLevelType w:val="hybridMultilevel"/>
    <w:tmpl w:val="5CEE6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80"/>
    <w:rsid w:val="00071D80"/>
    <w:rsid w:val="00145423"/>
    <w:rsid w:val="00213630"/>
    <w:rsid w:val="0030020B"/>
    <w:rsid w:val="00443F4F"/>
    <w:rsid w:val="004F5D89"/>
    <w:rsid w:val="0058252B"/>
    <w:rsid w:val="005A068C"/>
    <w:rsid w:val="00617585"/>
    <w:rsid w:val="00722B81"/>
    <w:rsid w:val="0097633A"/>
    <w:rsid w:val="00A55FBD"/>
    <w:rsid w:val="00B161D6"/>
    <w:rsid w:val="00B97D9D"/>
    <w:rsid w:val="00BE6EB2"/>
    <w:rsid w:val="00C07A18"/>
    <w:rsid w:val="00C92AD5"/>
    <w:rsid w:val="00CC4586"/>
    <w:rsid w:val="00D047CC"/>
    <w:rsid w:val="00DC19B5"/>
    <w:rsid w:val="00DF26BD"/>
    <w:rsid w:val="00E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BD"/>
  </w:style>
  <w:style w:type="paragraph" w:styleId="Stopka">
    <w:name w:val="footer"/>
    <w:basedOn w:val="Normalny"/>
    <w:link w:val="StopkaZnak"/>
    <w:uiPriority w:val="99"/>
    <w:unhideWhenUsed/>
    <w:rsid w:val="00A5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FBD"/>
  </w:style>
  <w:style w:type="paragraph" w:styleId="Tekstdymka">
    <w:name w:val="Balloon Text"/>
    <w:basedOn w:val="Normalny"/>
    <w:link w:val="TekstdymkaZnak"/>
    <w:uiPriority w:val="99"/>
    <w:semiHidden/>
    <w:unhideWhenUsed/>
    <w:rsid w:val="00A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5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A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2AD5"/>
    <w:rPr>
      <w:color w:val="0000FF"/>
      <w:u w:val="single"/>
    </w:rPr>
  </w:style>
  <w:style w:type="table" w:styleId="Tabela-Siatka">
    <w:name w:val="Table Grid"/>
    <w:basedOn w:val="Standardowy"/>
    <w:uiPriority w:val="59"/>
    <w:rsid w:val="00C9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363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A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FBD"/>
  </w:style>
  <w:style w:type="paragraph" w:styleId="Stopka">
    <w:name w:val="footer"/>
    <w:basedOn w:val="Normalny"/>
    <w:link w:val="StopkaZnak"/>
    <w:uiPriority w:val="99"/>
    <w:unhideWhenUsed/>
    <w:rsid w:val="00A5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FBD"/>
  </w:style>
  <w:style w:type="paragraph" w:styleId="Tekstdymka">
    <w:name w:val="Balloon Text"/>
    <w:basedOn w:val="Normalny"/>
    <w:link w:val="TekstdymkaZnak"/>
    <w:uiPriority w:val="99"/>
    <w:semiHidden/>
    <w:unhideWhenUsed/>
    <w:rsid w:val="00A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55F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AD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2AD5"/>
    <w:rPr>
      <w:color w:val="0000FF"/>
      <w:u w:val="single"/>
    </w:rPr>
  </w:style>
  <w:style w:type="table" w:styleId="Tabela-Siatka">
    <w:name w:val="Table Grid"/>
    <w:basedOn w:val="Standardowy"/>
    <w:uiPriority w:val="59"/>
    <w:rsid w:val="00C9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1363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METROPOLIS Bartosz Janc</dc:creator>
  <cp:lastModifiedBy>Metropolis Magdalena Tuszyńska</cp:lastModifiedBy>
  <cp:revision>3</cp:revision>
  <dcterms:created xsi:type="dcterms:W3CDTF">2018-05-08T09:48:00Z</dcterms:created>
  <dcterms:modified xsi:type="dcterms:W3CDTF">2018-05-08T09:55:00Z</dcterms:modified>
</cp:coreProperties>
</file>