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514C9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 w:line="360" w:lineRule="auto"/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</w:pPr>
      <w:r w:rsidRPr="00342A67"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  <w:t xml:space="preserve">PROGRAM SZKOLENIA  DLA PRZEDSTAWICIELI  </w:t>
      </w:r>
      <w:r w:rsidR="007A1D79" w:rsidRPr="00342A67"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  <w:t>PROKURATURY</w:t>
      </w:r>
    </w:p>
    <w:p w14:paraId="00CB3A51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</w:pPr>
      <w:r w:rsidRPr="00342A67"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  <w:t>Dzień I</w:t>
      </w:r>
    </w:p>
    <w:p w14:paraId="0F88D9FE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eastAsiaTheme="majorEastAsia" w:hAnsiTheme="majorHAnsi" w:cstheme="majorBidi"/>
          <w:b/>
          <w:color w:val="323333"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9:00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9:30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Rozpoczęcie szkolenia</w:t>
      </w:r>
    </w:p>
    <w:p w14:paraId="101FB15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1. Wprowadzenie</w:t>
      </w:r>
    </w:p>
    <w:p w14:paraId="2AE2B082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MT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 xml:space="preserve">2. </w:t>
      </w:r>
      <w:r w:rsidRPr="00342A67">
        <w:rPr>
          <w:rFonts w:asciiTheme="majorHAnsi" w:hAnsiTheme="majorHAnsi" w:cs="TimesNewRomanPSMT"/>
          <w:sz w:val="18"/>
          <w:szCs w:val="18"/>
        </w:rPr>
        <w:t>Przedstawienie się uczestników</w:t>
      </w:r>
    </w:p>
    <w:p w14:paraId="559A23E9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hAnsiTheme="majorHAnsi"/>
          <w:sz w:val="18"/>
          <w:szCs w:val="18"/>
        </w:rPr>
      </w:pPr>
    </w:p>
    <w:p w14:paraId="15607814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hAnsiTheme="majorHAnsi"/>
          <w:b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9:30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 xml:space="preserve">10:30 </w:t>
      </w:r>
    </w:p>
    <w:p w14:paraId="30EB4B91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eastAsiaTheme="majorEastAsia" w:hAnsiTheme="majorHAnsi" w:cstheme="majorBidi"/>
          <w:color w:val="323333"/>
          <w:sz w:val="18"/>
          <w:szCs w:val="18"/>
        </w:rPr>
      </w:pPr>
      <w:r w:rsidRPr="00342A67">
        <w:rPr>
          <w:rFonts w:asciiTheme="majorHAnsi" w:eastAsiaTheme="majorEastAsia" w:hAnsiTheme="majorHAnsi" w:cstheme="majorBidi"/>
          <w:color w:val="323333"/>
          <w:sz w:val="18"/>
          <w:szCs w:val="18"/>
        </w:rPr>
        <w:t>1. Sprawiedliwość naprawcza vs. sprawiedliwość odwetowa</w:t>
      </w:r>
      <w:r w:rsidR="00581E5B" w:rsidRPr="00342A67">
        <w:rPr>
          <w:rFonts w:asciiTheme="majorHAnsi" w:eastAsiaTheme="majorEastAsia" w:hAnsiTheme="majorHAnsi" w:cstheme="majorBidi"/>
          <w:color w:val="323333"/>
          <w:sz w:val="18"/>
          <w:szCs w:val="18"/>
        </w:rPr>
        <w:t xml:space="preserve">. </w:t>
      </w:r>
    </w:p>
    <w:p w14:paraId="4DBECB46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/>
        <w:ind w:left="720" w:hanging="72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Cs/>
          <w:sz w:val="18"/>
          <w:szCs w:val="18"/>
        </w:rPr>
        <w:t>2. Dynamika konfliktu</w:t>
      </w:r>
    </w:p>
    <w:p w14:paraId="2B890EDA" w14:textId="77777777" w:rsidR="00581E5B" w:rsidRPr="00342A67" w:rsidRDefault="00581E5B" w:rsidP="00581E5B">
      <w:pPr>
        <w:autoSpaceDE w:val="0"/>
        <w:autoSpaceDN w:val="0"/>
        <w:adjustRightInd w:val="0"/>
        <w:rPr>
          <w:rFonts w:asciiTheme="majorHAnsi" w:eastAsia="Calibri" w:hAnsiTheme="majorHAnsi" w:cs="DejaVuSans"/>
          <w:sz w:val="18"/>
          <w:szCs w:val="18"/>
        </w:rPr>
      </w:pPr>
      <w:r w:rsidRPr="00342A67">
        <w:rPr>
          <w:rFonts w:asciiTheme="majorHAnsi" w:eastAsia="Calibri" w:hAnsiTheme="majorHAnsi" w:cs="DejaVuSans"/>
          <w:sz w:val="18"/>
          <w:szCs w:val="18"/>
        </w:rPr>
        <w:t>2.1  źródła konfliktu w sporach gospodarczych</w:t>
      </w:r>
    </w:p>
    <w:p w14:paraId="440B938B" w14:textId="77777777" w:rsidR="00581E5B" w:rsidRPr="00342A67" w:rsidRDefault="00581E5B" w:rsidP="00581E5B">
      <w:pPr>
        <w:autoSpaceDE w:val="0"/>
        <w:autoSpaceDN w:val="0"/>
        <w:adjustRightInd w:val="0"/>
        <w:rPr>
          <w:rFonts w:asciiTheme="majorHAnsi" w:eastAsia="Calibri" w:hAnsiTheme="majorHAnsi" w:cs="DejaVuSans"/>
          <w:sz w:val="18"/>
          <w:szCs w:val="18"/>
        </w:rPr>
      </w:pPr>
      <w:r w:rsidRPr="00342A67">
        <w:rPr>
          <w:rFonts w:asciiTheme="majorHAnsi" w:eastAsia="Calibri" w:hAnsiTheme="majorHAnsi" w:cs="DejaVuSans"/>
          <w:sz w:val="18"/>
          <w:szCs w:val="18"/>
        </w:rPr>
        <w:t>2.2. strategie działania w konflikcie</w:t>
      </w:r>
    </w:p>
    <w:p w14:paraId="0B2806E1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</w:t>
      </w:r>
      <w:r w:rsidR="00581E5B" w:rsidRPr="00342A67">
        <w:rPr>
          <w:rFonts w:asciiTheme="majorHAnsi" w:hAnsiTheme="majorHAnsi"/>
          <w:sz w:val="18"/>
          <w:szCs w:val="18"/>
        </w:rPr>
        <w:t>3</w:t>
      </w:r>
      <w:r w:rsidRPr="00342A67">
        <w:rPr>
          <w:rFonts w:asciiTheme="majorHAnsi" w:hAnsiTheme="majorHAnsi"/>
          <w:sz w:val="18"/>
          <w:szCs w:val="18"/>
        </w:rPr>
        <w:t>. Definicja konfliktu</w:t>
      </w:r>
    </w:p>
    <w:p w14:paraId="199C8EE0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MT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</w:t>
      </w:r>
      <w:r w:rsidR="00581E5B" w:rsidRPr="00342A67">
        <w:rPr>
          <w:rFonts w:asciiTheme="majorHAnsi" w:hAnsiTheme="majorHAnsi"/>
          <w:sz w:val="18"/>
          <w:szCs w:val="18"/>
        </w:rPr>
        <w:t>4</w:t>
      </w:r>
      <w:r w:rsidRPr="00342A67">
        <w:rPr>
          <w:rFonts w:asciiTheme="majorHAnsi" w:hAnsiTheme="majorHAnsi"/>
          <w:sz w:val="18"/>
          <w:szCs w:val="18"/>
        </w:rPr>
        <w:t xml:space="preserve">. </w:t>
      </w:r>
      <w:r w:rsidRPr="00342A67">
        <w:rPr>
          <w:rFonts w:asciiTheme="majorHAnsi" w:hAnsiTheme="majorHAnsi" w:cs="TimesNewRomanPSMT"/>
          <w:sz w:val="18"/>
          <w:szCs w:val="18"/>
        </w:rPr>
        <w:t>Bariery komunikacji i błędy poznawcze a eskalacja konfliktu</w:t>
      </w:r>
    </w:p>
    <w:p w14:paraId="2621F680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</w:t>
      </w:r>
      <w:r w:rsidR="00581E5B" w:rsidRPr="00342A67">
        <w:rPr>
          <w:rFonts w:asciiTheme="majorHAnsi" w:hAnsiTheme="majorHAnsi"/>
          <w:sz w:val="18"/>
          <w:szCs w:val="18"/>
        </w:rPr>
        <w:t>5</w:t>
      </w:r>
      <w:r w:rsidRPr="00342A67">
        <w:rPr>
          <w:rFonts w:asciiTheme="majorHAnsi" w:hAnsiTheme="majorHAnsi"/>
          <w:sz w:val="18"/>
          <w:szCs w:val="18"/>
        </w:rPr>
        <w:t>. Dynamika konfliktu</w:t>
      </w:r>
    </w:p>
    <w:p w14:paraId="7FFA5F2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</w:t>
      </w:r>
      <w:r w:rsidR="00581E5B" w:rsidRPr="00342A67">
        <w:rPr>
          <w:rFonts w:asciiTheme="majorHAnsi" w:hAnsiTheme="majorHAnsi"/>
          <w:sz w:val="18"/>
          <w:szCs w:val="18"/>
        </w:rPr>
        <w:t>6</w:t>
      </w:r>
      <w:r w:rsidRPr="00342A67">
        <w:rPr>
          <w:rFonts w:asciiTheme="majorHAnsi" w:hAnsiTheme="majorHAnsi"/>
          <w:sz w:val="18"/>
          <w:szCs w:val="18"/>
        </w:rPr>
        <w:t xml:space="preserve"> Dynamika konfliktu w toku </w:t>
      </w:r>
      <w:r w:rsidRPr="00342A67">
        <w:rPr>
          <w:rFonts w:asciiTheme="majorHAnsi" w:hAnsiTheme="majorHAnsi" w:cs="TimesNewRomanPSMT"/>
          <w:sz w:val="18"/>
          <w:szCs w:val="18"/>
        </w:rPr>
        <w:t>sprawy są</w:t>
      </w:r>
      <w:r w:rsidRPr="00342A67">
        <w:rPr>
          <w:rFonts w:asciiTheme="majorHAnsi" w:hAnsiTheme="majorHAnsi"/>
          <w:sz w:val="18"/>
          <w:szCs w:val="18"/>
        </w:rPr>
        <w:t>dowej</w:t>
      </w:r>
    </w:p>
    <w:p w14:paraId="4320F5B1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</w:t>
      </w:r>
      <w:r w:rsidR="00581E5B" w:rsidRPr="00342A67">
        <w:rPr>
          <w:rFonts w:asciiTheme="majorHAnsi" w:hAnsiTheme="majorHAnsi"/>
          <w:sz w:val="18"/>
          <w:szCs w:val="18"/>
        </w:rPr>
        <w:t>7</w:t>
      </w:r>
      <w:r w:rsidRPr="00342A67">
        <w:rPr>
          <w:rFonts w:asciiTheme="majorHAnsi" w:hAnsiTheme="majorHAnsi"/>
          <w:sz w:val="18"/>
          <w:szCs w:val="18"/>
        </w:rPr>
        <w:t xml:space="preserve"> Stanowiska a interesy stron w sporach gospodarczych</w:t>
      </w:r>
    </w:p>
    <w:p w14:paraId="627E6CD4" w14:textId="77777777" w:rsidR="00581E5B" w:rsidRPr="00342A67" w:rsidRDefault="00581E5B" w:rsidP="00581E5B">
      <w:pPr>
        <w:autoSpaceDE w:val="0"/>
        <w:autoSpaceDN w:val="0"/>
        <w:adjustRightInd w:val="0"/>
        <w:rPr>
          <w:rFonts w:asciiTheme="majorHAnsi" w:eastAsia="Calibri" w:hAnsiTheme="majorHAnsi" w:cs="DejaVuSans-Bold"/>
          <w:b/>
          <w:bCs/>
          <w:sz w:val="18"/>
          <w:szCs w:val="18"/>
        </w:rPr>
      </w:pPr>
      <w:r w:rsidRPr="00342A67">
        <w:rPr>
          <w:rFonts w:asciiTheme="majorHAnsi" w:eastAsia="Calibri" w:hAnsiTheme="majorHAnsi" w:cs="TimesNewRomanPS-BoldMT"/>
          <w:bCs/>
          <w:sz w:val="18"/>
          <w:szCs w:val="18"/>
        </w:rPr>
        <w:t xml:space="preserve">3. </w:t>
      </w:r>
      <w:r w:rsidRPr="00342A67">
        <w:rPr>
          <w:rFonts w:asciiTheme="majorHAnsi" w:eastAsia="Calibri" w:hAnsiTheme="majorHAnsi" w:cs="DejaVuSans-Bold"/>
          <w:bCs/>
          <w:sz w:val="18"/>
          <w:szCs w:val="18"/>
        </w:rPr>
        <w:t>Motywowanie do udziału w mediacji gospodarczej</w:t>
      </w:r>
      <w:r w:rsidRPr="00342A67">
        <w:rPr>
          <w:rFonts w:asciiTheme="majorHAnsi" w:eastAsia="Calibri" w:hAnsiTheme="majorHAnsi" w:cs="DejaVuSans-Bold"/>
          <w:b/>
          <w:bCs/>
          <w:sz w:val="18"/>
          <w:szCs w:val="18"/>
        </w:rPr>
        <w:t xml:space="preserve"> :</w:t>
      </w:r>
    </w:p>
    <w:p w14:paraId="2721DF94" w14:textId="77777777" w:rsidR="00581E5B" w:rsidRPr="00342A67" w:rsidRDefault="00581E5B" w:rsidP="00581E5B">
      <w:pPr>
        <w:autoSpaceDE w:val="0"/>
        <w:autoSpaceDN w:val="0"/>
        <w:adjustRightInd w:val="0"/>
        <w:rPr>
          <w:rFonts w:asciiTheme="majorHAnsi" w:eastAsia="Calibri" w:hAnsiTheme="majorHAnsi" w:cs="DejaVuSans"/>
          <w:sz w:val="18"/>
          <w:szCs w:val="18"/>
        </w:rPr>
      </w:pPr>
      <w:r w:rsidRPr="00342A67">
        <w:rPr>
          <w:rFonts w:asciiTheme="majorHAnsi" w:eastAsia="Calibri" w:hAnsiTheme="majorHAnsi" w:cs="DejaVuSans"/>
          <w:sz w:val="18"/>
          <w:szCs w:val="18"/>
        </w:rPr>
        <w:t>- jak motywować do mediacji gospodarczej</w:t>
      </w:r>
    </w:p>
    <w:p w14:paraId="598AED15" w14:textId="77777777" w:rsidR="00581E5B" w:rsidRPr="00342A67" w:rsidRDefault="00581E5B" w:rsidP="00581E5B">
      <w:pPr>
        <w:autoSpaceDE w:val="0"/>
        <w:autoSpaceDN w:val="0"/>
        <w:adjustRightInd w:val="0"/>
        <w:rPr>
          <w:rFonts w:asciiTheme="majorHAnsi" w:eastAsia="Calibri" w:hAnsiTheme="majorHAnsi" w:cs="DejaVuSans"/>
          <w:sz w:val="18"/>
          <w:szCs w:val="18"/>
        </w:rPr>
      </w:pPr>
      <w:r w:rsidRPr="00342A67">
        <w:rPr>
          <w:rFonts w:asciiTheme="majorHAnsi" w:eastAsia="Calibri" w:hAnsiTheme="majorHAnsi" w:cs="DejaVuSans"/>
          <w:sz w:val="18"/>
          <w:szCs w:val="18"/>
        </w:rPr>
        <w:t>- korzyści z mediacji gospodarczej</w:t>
      </w:r>
    </w:p>
    <w:p w14:paraId="41B620EF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14:paraId="031A56A8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10:30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10:45</w:t>
      </w:r>
      <w:r w:rsidRPr="00342A67">
        <w:rPr>
          <w:rFonts w:asciiTheme="majorHAnsi" w:hAnsiTheme="majorHAnsi"/>
          <w:sz w:val="18"/>
          <w:szCs w:val="18"/>
        </w:rPr>
        <w:t xml:space="preserve"> 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kawowa</w:t>
      </w:r>
    </w:p>
    <w:p w14:paraId="247B18BD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14:paraId="2170DCDC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10:45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12:30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sz w:val="18"/>
          <w:szCs w:val="18"/>
        </w:rPr>
        <w:t>Wprowadzenie do mediacji</w:t>
      </w:r>
    </w:p>
    <w:p w14:paraId="01D5B85F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1. Zasady mediacji</w:t>
      </w:r>
    </w:p>
    <w:p w14:paraId="7F0EBCD2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 Etapy mediacji</w:t>
      </w:r>
    </w:p>
    <w:p w14:paraId="736EB9DA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3. Uwarunkowania prawne mediacji</w:t>
      </w:r>
    </w:p>
    <w:p w14:paraId="79DCD0CF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 xml:space="preserve">4. </w:t>
      </w:r>
      <w:r w:rsidRPr="00342A67">
        <w:rPr>
          <w:rFonts w:asciiTheme="majorHAnsi" w:hAnsiTheme="majorHAnsi" w:cs="TimesNewRomanPSMT"/>
          <w:sz w:val="18"/>
          <w:szCs w:val="18"/>
        </w:rPr>
        <w:t>Różnice między negocjacjami, mediacją, arbitrażem  a postępowaniem są</w:t>
      </w:r>
      <w:r w:rsidRPr="00342A67">
        <w:rPr>
          <w:rFonts w:asciiTheme="majorHAnsi" w:hAnsiTheme="majorHAnsi"/>
          <w:sz w:val="18"/>
          <w:szCs w:val="18"/>
        </w:rPr>
        <w:t>dowym</w:t>
      </w:r>
    </w:p>
    <w:p w14:paraId="274395B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14:paraId="66D2E1A5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i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12:30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13.00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obiadowa</w:t>
      </w:r>
    </w:p>
    <w:p w14:paraId="43276D2E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13:00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14:30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Demonstracja mediacji i omówienie</w:t>
      </w:r>
    </w:p>
    <w:p w14:paraId="5A944950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i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14.30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14.45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kawowa</w:t>
      </w:r>
    </w:p>
    <w:p w14:paraId="05CD6678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14:45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15:45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sz w:val="18"/>
          <w:szCs w:val="18"/>
        </w:rPr>
        <w:t>Kryteria kierowania spraw do mediacji</w:t>
      </w:r>
    </w:p>
    <w:p w14:paraId="33E0CC5B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15:45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16:00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 xml:space="preserve">Podsumowanie i zakończenie </w:t>
      </w:r>
      <w:r w:rsidRPr="00342A67">
        <w:rPr>
          <w:rFonts w:asciiTheme="majorHAnsi" w:hAnsiTheme="majorHAnsi"/>
          <w:bCs/>
          <w:sz w:val="18"/>
          <w:szCs w:val="18"/>
        </w:rPr>
        <w:t>I-ego dnia szkolenia</w:t>
      </w:r>
    </w:p>
    <w:p w14:paraId="520C92D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sz w:val="18"/>
          <w:szCs w:val="18"/>
        </w:rPr>
      </w:pPr>
    </w:p>
    <w:p w14:paraId="4769ABB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sz w:val="18"/>
          <w:szCs w:val="18"/>
        </w:rPr>
      </w:pPr>
      <w:r w:rsidRPr="00342A67">
        <w:rPr>
          <w:rFonts w:asciiTheme="majorHAnsi" w:hAnsiTheme="majorHAnsi" w:cs="TimesNewRomanPS-BoldMT"/>
          <w:b/>
          <w:bCs/>
          <w:sz w:val="18"/>
          <w:szCs w:val="18"/>
        </w:rPr>
        <w:t>Dzień II</w:t>
      </w:r>
    </w:p>
    <w:p w14:paraId="3BECE651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</w:p>
    <w:p w14:paraId="0A4C87AC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9:00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9:15</w:t>
      </w:r>
      <w:r w:rsidRPr="00342A67">
        <w:rPr>
          <w:rFonts w:asciiTheme="majorHAnsi" w:hAnsiTheme="majorHAnsi"/>
          <w:sz w:val="18"/>
          <w:szCs w:val="18"/>
        </w:rPr>
        <w:t xml:space="preserve">    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Rozpoczęcie II</w:t>
      </w:r>
      <w:r w:rsidRPr="00342A67">
        <w:rPr>
          <w:rFonts w:asciiTheme="majorHAnsi" w:hAnsiTheme="majorHAnsi"/>
          <w:bCs/>
          <w:sz w:val="18"/>
          <w:szCs w:val="18"/>
        </w:rPr>
        <w:t>-ego dnia szkolenia</w:t>
      </w:r>
    </w:p>
    <w:p w14:paraId="34FD8795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9:15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10:45</w:t>
      </w:r>
      <w:r w:rsidRPr="00342A67">
        <w:rPr>
          <w:rFonts w:asciiTheme="majorHAnsi" w:hAnsiTheme="majorHAnsi"/>
          <w:sz w:val="18"/>
          <w:szCs w:val="18"/>
        </w:rPr>
        <w:t xml:space="preserve">   </w:t>
      </w:r>
      <w:r w:rsidRPr="00342A67">
        <w:rPr>
          <w:rFonts w:asciiTheme="majorHAnsi" w:hAnsiTheme="majorHAnsi"/>
          <w:bCs/>
          <w:sz w:val="18"/>
          <w:szCs w:val="18"/>
        </w:rPr>
        <w:t xml:space="preserve">Symulacja mediacji gospodarczej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z udziałem uczestników</w:t>
      </w:r>
    </w:p>
    <w:p w14:paraId="7D473E82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i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10:45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11:00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kawowa</w:t>
      </w:r>
    </w:p>
    <w:p w14:paraId="31360A32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11:00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11:45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Omówienie symulacji</w:t>
      </w:r>
    </w:p>
    <w:p w14:paraId="0131FB81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11:45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13:00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sz w:val="18"/>
          <w:szCs w:val="18"/>
        </w:rPr>
        <w:t>Skuteczne kierowanie spraw do mediacji</w:t>
      </w:r>
    </w:p>
    <w:p w14:paraId="758A4772" w14:textId="77777777" w:rsidR="005B33CC" w:rsidRPr="00342A67" w:rsidRDefault="005B33CC" w:rsidP="00342A67">
      <w:pPr>
        <w:autoSpaceDE w:val="0"/>
        <w:autoSpaceDN w:val="0"/>
        <w:adjustRightInd w:val="0"/>
        <w:ind w:left="142" w:firstLine="992"/>
        <w:rPr>
          <w:rFonts w:asciiTheme="majorHAnsi" w:hAnsiTheme="majorHAnsi" w:cs="TimesNewRomanPSMT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 xml:space="preserve">1. </w:t>
      </w:r>
      <w:r w:rsidRPr="00342A67">
        <w:rPr>
          <w:rFonts w:asciiTheme="majorHAnsi" w:hAnsiTheme="majorHAnsi" w:cs="TimesNewRomanPSMT"/>
          <w:sz w:val="18"/>
          <w:szCs w:val="18"/>
        </w:rPr>
        <w:t xml:space="preserve">Korzyści z mediacji dla: stron, </w:t>
      </w:r>
      <w:r w:rsidR="007A1D79" w:rsidRPr="00342A67">
        <w:rPr>
          <w:rFonts w:asciiTheme="majorHAnsi" w:hAnsiTheme="majorHAnsi" w:cs="TimesNewRomanPSMT"/>
          <w:sz w:val="18"/>
          <w:szCs w:val="18"/>
        </w:rPr>
        <w:t xml:space="preserve">prokuratury, </w:t>
      </w:r>
      <w:r w:rsidRPr="00342A67">
        <w:rPr>
          <w:rFonts w:asciiTheme="majorHAnsi" w:hAnsiTheme="majorHAnsi" w:cs="TimesNewRomanPSMT"/>
          <w:sz w:val="18"/>
          <w:szCs w:val="18"/>
        </w:rPr>
        <w:t>sądu, pełnomocników</w:t>
      </w:r>
    </w:p>
    <w:p w14:paraId="54E3DA79" w14:textId="77777777" w:rsidR="005B33CC" w:rsidRPr="00342A67" w:rsidRDefault="005B33CC" w:rsidP="00342A67">
      <w:pPr>
        <w:autoSpaceDE w:val="0"/>
        <w:autoSpaceDN w:val="0"/>
        <w:adjustRightInd w:val="0"/>
        <w:ind w:left="142" w:firstLine="992"/>
        <w:rPr>
          <w:rFonts w:asciiTheme="majorHAnsi" w:hAnsiTheme="majorHAnsi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>2. Motywowanie do skorzystania z mediacji</w:t>
      </w:r>
    </w:p>
    <w:p w14:paraId="4441354A" w14:textId="77777777" w:rsidR="005B33CC" w:rsidRPr="00342A67" w:rsidRDefault="005B33CC" w:rsidP="00342A67">
      <w:pPr>
        <w:autoSpaceDE w:val="0"/>
        <w:autoSpaceDN w:val="0"/>
        <w:adjustRightInd w:val="0"/>
        <w:ind w:left="142" w:firstLine="992"/>
        <w:rPr>
          <w:rFonts w:asciiTheme="majorHAnsi" w:hAnsiTheme="majorHAnsi" w:cs="TimesNewRomanPSMT"/>
          <w:sz w:val="18"/>
          <w:szCs w:val="18"/>
        </w:rPr>
      </w:pPr>
      <w:r w:rsidRPr="00342A67">
        <w:rPr>
          <w:rFonts w:asciiTheme="majorHAnsi" w:hAnsiTheme="majorHAnsi"/>
          <w:sz w:val="18"/>
          <w:szCs w:val="18"/>
        </w:rPr>
        <w:t xml:space="preserve">3. </w:t>
      </w:r>
      <w:r w:rsidRPr="00342A67">
        <w:rPr>
          <w:rFonts w:asciiTheme="majorHAnsi" w:hAnsiTheme="majorHAnsi" w:cs="TimesNewRomanPSMT"/>
          <w:sz w:val="18"/>
          <w:szCs w:val="18"/>
        </w:rPr>
        <w:t>Rola pełnomocników w mediacji</w:t>
      </w:r>
    </w:p>
    <w:p w14:paraId="14A62FDA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i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13:00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13:30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obiadowa</w:t>
      </w:r>
      <w:bookmarkStart w:id="0" w:name="_GoBack"/>
      <w:bookmarkEnd w:id="0"/>
    </w:p>
    <w:p w14:paraId="46867B1D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13.30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14.30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="007A1D79" w:rsidRPr="00342A67">
        <w:rPr>
          <w:rFonts w:asciiTheme="majorHAnsi" w:eastAsiaTheme="majorEastAsia" w:hAnsiTheme="majorHAnsi" w:cstheme="majorBidi"/>
          <w:color w:val="323333"/>
          <w:sz w:val="18"/>
          <w:szCs w:val="18"/>
        </w:rPr>
        <w:t>Uregulowania prawne dot. mediacji</w:t>
      </w:r>
      <w:r w:rsidR="007A1D79" w:rsidRPr="00342A67">
        <w:rPr>
          <w:rFonts w:asciiTheme="majorHAnsi" w:hAnsiTheme="majorHAnsi"/>
          <w:bCs/>
          <w:sz w:val="18"/>
          <w:szCs w:val="18"/>
        </w:rPr>
        <w:t xml:space="preserve">.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Dobre praktyki stosowania mediacji w</w:t>
      </w:r>
      <w:r w:rsidR="007A1D79" w:rsidRPr="00342A67">
        <w:rPr>
          <w:rFonts w:asciiTheme="majorHAnsi" w:hAnsiTheme="majorHAnsi" w:cs="TimesNewRomanPS-BoldMT"/>
          <w:bCs/>
          <w:sz w:val="18"/>
          <w:szCs w:val="18"/>
        </w:rPr>
        <w:br/>
        <w:t xml:space="preserve">                   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 xml:space="preserve"> </w:t>
      </w:r>
      <w:r w:rsidR="007A1D79" w:rsidRPr="00342A67">
        <w:rPr>
          <w:rFonts w:asciiTheme="majorHAnsi" w:hAnsiTheme="majorHAnsi" w:cs="TimesNewRomanPS-BoldMT"/>
          <w:bCs/>
          <w:sz w:val="18"/>
          <w:szCs w:val="18"/>
        </w:rPr>
        <w:t xml:space="preserve"> 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Polsce. Przykłady dobrych praktyk</w:t>
      </w:r>
    </w:p>
    <w:p w14:paraId="302DD4DD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/>
          <w:bCs/>
          <w:i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14:30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14:45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/>
          <w:bCs/>
          <w:iCs/>
          <w:sz w:val="18"/>
          <w:szCs w:val="18"/>
        </w:rPr>
        <w:t>Przerwa kawowa</w:t>
      </w:r>
    </w:p>
    <w:p w14:paraId="694BE724" w14:textId="77777777" w:rsidR="005B33CC" w:rsidRPr="00342A67" w:rsidRDefault="005B33CC" w:rsidP="005B33CC">
      <w:pPr>
        <w:autoSpaceDE w:val="0"/>
        <w:autoSpaceDN w:val="0"/>
        <w:adjustRightInd w:val="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14:45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15:45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 xml:space="preserve">Systemowe wdrożenie mediacji </w:t>
      </w:r>
      <w:r w:rsidR="007A1D79" w:rsidRPr="00342A67">
        <w:rPr>
          <w:rFonts w:asciiTheme="majorHAnsi" w:hAnsiTheme="majorHAnsi" w:cs="TimesNewRomanPS-BoldMT"/>
          <w:bCs/>
          <w:sz w:val="18"/>
          <w:szCs w:val="18"/>
        </w:rPr>
        <w:t>w prokuraturach: zalety, bariery</w:t>
      </w:r>
    </w:p>
    <w:p w14:paraId="1FEF4D83" w14:textId="77777777" w:rsidR="005B33CC" w:rsidRPr="00342A67" w:rsidRDefault="005B33CC" w:rsidP="005B33CC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 w:line="360" w:lineRule="auto"/>
        <w:ind w:left="720" w:hanging="720"/>
        <w:rPr>
          <w:rFonts w:asciiTheme="majorHAnsi" w:hAnsiTheme="majorHAnsi" w:cs="TimesNewRomanPS-BoldMT"/>
          <w:bCs/>
          <w:sz w:val="18"/>
          <w:szCs w:val="18"/>
        </w:rPr>
      </w:pPr>
      <w:r w:rsidRPr="00342A67">
        <w:rPr>
          <w:rFonts w:asciiTheme="majorHAnsi" w:hAnsiTheme="majorHAnsi"/>
          <w:b/>
          <w:sz w:val="18"/>
          <w:szCs w:val="18"/>
        </w:rPr>
        <w:t xml:space="preserve">15:45 </w:t>
      </w:r>
      <w:r w:rsidRPr="00342A67">
        <w:rPr>
          <w:rFonts w:asciiTheme="majorHAnsi" w:hAnsiTheme="majorHAnsi" w:cs="TimesNewRomanPSMT"/>
          <w:b/>
          <w:sz w:val="18"/>
          <w:szCs w:val="18"/>
        </w:rPr>
        <w:t xml:space="preserve">– </w:t>
      </w:r>
      <w:r w:rsidRPr="00342A67">
        <w:rPr>
          <w:rFonts w:asciiTheme="majorHAnsi" w:hAnsiTheme="majorHAnsi"/>
          <w:b/>
          <w:sz w:val="18"/>
          <w:szCs w:val="18"/>
        </w:rPr>
        <w:t>16:00</w:t>
      </w:r>
      <w:r w:rsidRPr="00342A67">
        <w:rPr>
          <w:rFonts w:asciiTheme="majorHAnsi" w:hAnsiTheme="majorHAnsi"/>
          <w:sz w:val="18"/>
          <w:szCs w:val="18"/>
        </w:rPr>
        <w:t xml:space="preserve"> </w:t>
      </w:r>
      <w:r w:rsidRPr="00342A67">
        <w:rPr>
          <w:rFonts w:asciiTheme="majorHAnsi" w:hAnsiTheme="majorHAnsi" w:cs="TimesNewRomanPS-BoldMT"/>
          <w:bCs/>
          <w:sz w:val="18"/>
          <w:szCs w:val="18"/>
        </w:rPr>
        <w:t>Podsumowanie i zakończenie szkolenia</w:t>
      </w:r>
    </w:p>
    <w:p w14:paraId="3A7D509D" w14:textId="77777777" w:rsidR="00342A67" w:rsidRDefault="00342A67" w:rsidP="005B33CC">
      <w:pPr>
        <w:pStyle w:val="NormalnyWeb"/>
        <w:tabs>
          <w:tab w:val="left" w:pos="220"/>
          <w:tab w:val="left" w:pos="720"/>
        </w:tabs>
        <w:overflowPunct w:val="0"/>
        <w:spacing w:line="360" w:lineRule="auto"/>
        <w:rPr>
          <w:rFonts w:asciiTheme="majorHAnsi" w:eastAsiaTheme="majorEastAsia" w:hAnsiTheme="majorHAnsi" w:cstheme="minorHAnsi"/>
          <w:b/>
          <w:color w:val="323333"/>
          <w:sz w:val="18"/>
          <w:szCs w:val="18"/>
        </w:rPr>
      </w:pPr>
    </w:p>
    <w:p w14:paraId="748A6F73" w14:textId="77777777" w:rsidR="00342A67" w:rsidRDefault="005B33CC" w:rsidP="00342A67">
      <w:pPr>
        <w:pStyle w:val="NormalnyWeb"/>
        <w:tabs>
          <w:tab w:val="left" w:pos="220"/>
          <w:tab w:val="left" w:pos="720"/>
        </w:tabs>
        <w:overflowPunct w:val="0"/>
        <w:spacing w:line="360" w:lineRule="auto"/>
        <w:rPr>
          <w:rFonts w:asciiTheme="majorHAnsi" w:eastAsiaTheme="majorEastAsia" w:hAnsiTheme="majorHAnsi" w:cstheme="minorHAnsi"/>
          <w:b/>
          <w:color w:val="323333"/>
          <w:sz w:val="18"/>
          <w:szCs w:val="18"/>
        </w:rPr>
      </w:pPr>
      <w:r w:rsidRPr="00342A67">
        <w:rPr>
          <w:rFonts w:asciiTheme="majorHAnsi" w:eastAsiaTheme="majorEastAsia" w:hAnsiTheme="majorHAnsi" w:cstheme="minorHAnsi"/>
          <w:b/>
          <w:color w:val="323333"/>
          <w:sz w:val="18"/>
          <w:szCs w:val="18"/>
        </w:rPr>
        <w:lastRenderedPageBreak/>
        <w:t>Prowadzący:</w:t>
      </w:r>
    </w:p>
    <w:p w14:paraId="7DE27580" w14:textId="77777777" w:rsidR="00342A67" w:rsidRDefault="005B33CC" w:rsidP="00342A67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 w:line="276" w:lineRule="auto"/>
        <w:rPr>
          <w:rFonts w:asciiTheme="majorHAnsi" w:hAnsiTheme="majorHAnsi" w:cstheme="minorHAnsi"/>
          <w:color w:val="000000"/>
          <w:sz w:val="18"/>
          <w:szCs w:val="18"/>
          <w:lang w:val="cs-CZ"/>
        </w:rPr>
      </w:pPr>
      <w:r w:rsidRPr="00342A67">
        <w:rPr>
          <w:rFonts w:asciiTheme="majorHAnsi" w:hAnsiTheme="majorHAnsi" w:cstheme="minorHAnsi"/>
          <w:b/>
          <w:color w:val="000000"/>
          <w:sz w:val="18"/>
          <w:szCs w:val="18"/>
          <w:lang w:val="cs-CZ"/>
        </w:rPr>
        <w:t>KATARZYNA KAMIŃSKA</w:t>
      </w: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 - mediator, metodyk mediacji, trener biznesu, superwizor, coach.</w:t>
      </w:r>
    </w:p>
    <w:p w14:paraId="73C2B0E6" w14:textId="77777777" w:rsidR="005B33CC" w:rsidRPr="00342A67" w:rsidRDefault="005B33CC" w:rsidP="00342A67">
      <w:pPr>
        <w:pStyle w:val="NormalnyWeb"/>
        <w:tabs>
          <w:tab w:val="left" w:pos="220"/>
          <w:tab w:val="left" w:pos="720"/>
        </w:tabs>
        <w:overflowPunct w:val="0"/>
        <w:spacing w:before="0" w:beforeAutospacing="0" w:after="0" w:afterAutospacing="0" w:line="276" w:lineRule="auto"/>
        <w:rPr>
          <w:rFonts w:asciiTheme="majorHAnsi" w:eastAsiaTheme="majorEastAsia" w:hAnsiTheme="majorHAnsi" w:cstheme="minorHAnsi"/>
          <w:b/>
          <w:color w:val="323333"/>
          <w:sz w:val="18"/>
          <w:szCs w:val="18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Od 13 lat jest aktywnym mediatorem, specjalistą w zarządzaniu konfliktem i zmianą,  stałym mediatorem w sprawach cywilnych i gospodarczych. Wykładowca-praktyk studiów wyższych uczelni w obszarze mediacji (m.in.: metodyka i warsztat pracy mediatora, kreatywność w mediacji) kluczowych kompetencji społecznych i osobistych; rozwiązywania konfliktów, negocjacji; Uniwersytet im. Adama Mickiewicza w Poznaniu, Górnośląska Wyższa Szkoła Handlowa w Katowicach, SWPS w Poznaniu. </w:t>
      </w:r>
    </w:p>
    <w:p w14:paraId="0F095C12" w14:textId="77777777" w:rsidR="005B33CC" w:rsidRPr="00342A67" w:rsidRDefault="005B33CC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lang w:val="cs-CZ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Prowadzi firmę mediacyjno-szkoleniową COMETRE. Jest współzałożycielką Domu Mediacyjnego przy Instytucie Rozwoju Prawa i Członkiem Zarządu Resolution House Sp. z o.o. Mediacje prowadzi w oparciu o balans w operowaniu miękkimi narzędziami negocjacyjnymi i dyrektywnością. </w:t>
      </w:r>
    </w:p>
    <w:p w14:paraId="751DE365" w14:textId="77777777" w:rsidR="005B33CC" w:rsidRPr="00342A67" w:rsidRDefault="005B33CC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lang w:val="cs-CZ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We współpracy z Markert Mediacje w Warszawie prowadzi szkolenia z zakresu mediacji pracowniczych; opracowała i wdrożyła pionierski projekt zarządzania konfliktem w organizacji poprzez szkolenie wewnętrznych mediatorów w Amica SA, kilku instytucjach finansowych, służb mundurowych oraz pracowników organów administracji publicznej w Polsce. Wielokrotnie zapraszana jako prelegentka na konferencje dot. ADR w Polsce oraz uczestniczka licznych konferencji polskich i zagranicznych. Współinicjatorka i organizatorka Klubu Mediatora – ogólnopolskiej inicjatywy spotkań mediatorów praktyków. W maju 2016 r. brała udział w międzynarodowej platformie mediacyjnej “Pathways to sustainable mediation” zorganizowanej w Wiedniu przez Partners Global, Partners Poland i JAMS Foundation (USA). </w:t>
      </w:r>
    </w:p>
    <w:p w14:paraId="16A99720" w14:textId="77777777" w:rsidR="005B33CC" w:rsidRPr="00342A67" w:rsidRDefault="005B33CC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lang w:val="cs-CZ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Współautorka warsztatów “Dialogue above differences. How to cooperate and communicate between you and me across European border within local, regional, national and European community” w ramach Education &amp; Culture Lifelong Learning Programme, Grundtvig. </w:t>
      </w:r>
    </w:p>
    <w:p w14:paraId="03175CCD" w14:textId="77777777" w:rsidR="005B33CC" w:rsidRPr="00342A67" w:rsidRDefault="005B33CC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lang w:val="cs-CZ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Stale współpracuje z sądami i innymi instytucjami w zakresie działań upowszechniających polubowne rozwiązywanie konfliktów w Polsce. </w:t>
      </w:r>
    </w:p>
    <w:p w14:paraId="324FE476" w14:textId="77777777" w:rsidR="005B33CC" w:rsidRDefault="005B33CC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shd w:val="clear" w:color="auto" w:fill="FFFFFF"/>
          <w:lang w:val="cs-CZ"/>
        </w:rPr>
      </w:pP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Od 2016 r. działa na rzecz upowszechniania wiedzy na temat kultury Głuchych w Polsce. Jest pomysłodawcą i realizatorem innowacyjnego projektu badawczego pt. </w:t>
      </w:r>
      <w:r w:rsidRPr="00342A67">
        <w:rPr>
          <w:rFonts w:asciiTheme="majorHAnsi" w:hAnsiTheme="majorHAnsi" w:cstheme="minorHAnsi"/>
          <w:color w:val="000000"/>
          <w:sz w:val="18"/>
          <w:szCs w:val="18"/>
          <w:shd w:val="clear" w:color="auto" w:fill="FFFFFF"/>
          <w:lang w:val="cs-CZ"/>
        </w:rPr>
        <w:t xml:space="preserve">“Sprawiedliwość Słyszy Głuchych. Zwiększanie dostępu osób niesłyszących do wymiaru sprawiedliwości” w ramach Projektu „Inkubator Innowacji Społecznych Wielkich Jutra“ na zlecenie Ministerstwa Rozwoju, </w:t>
      </w:r>
      <w:r w:rsidRPr="00342A67">
        <w:rPr>
          <w:rFonts w:asciiTheme="majorHAnsi" w:hAnsiTheme="majorHAnsi" w:cstheme="minorHAnsi"/>
          <w:color w:val="000000"/>
          <w:sz w:val="18"/>
          <w:szCs w:val="18"/>
          <w:lang w:val="cs-CZ"/>
        </w:rPr>
        <w:t xml:space="preserve">IV Oś Priorytetowa: Innowacje społeczne i współpraca ponadnarodowa, Działanie 4.1 Innowacje społeczne </w:t>
      </w:r>
      <w:r w:rsidRPr="00342A67">
        <w:rPr>
          <w:rFonts w:asciiTheme="majorHAnsi" w:hAnsiTheme="majorHAnsi" w:cstheme="minorHAnsi"/>
          <w:color w:val="000000"/>
          <w:sz w:val="18"/>
          <w:szCs w:val="18"/>
          <w:shd w:val="clear" w:color="auto" w:fill="FFFFFF"/>
          <w:lang w:val="cs-CZ"/>
        </w:rPr>
        <w:t>współfinansowanego ze środków Unii Europejskiej w ramach EFS.</w:t>
      </w:r>
    </w:p>
    <w:p w14:paraId="3DFC615B" w14:textId="77777777" w:rsidR="00342A67" w:rsidRPr="00342A67" w:rsidRDefault="00342A67" w:rsidP="005B33CC">
      <w:pPr>
        <w:jc w:val="both"/>
        <w:rPr>
          <w:rFonts w:asciiTheme="majorHAnsi" w:hAnsiTheme="majorHAnsi" w:cstheme="minorHAnsi"/>
          <w:color w:val="000000"/>
          <w:sz w:val="18"/>
          <w:szCs w:val="18"/>
          <w:shd w:val="clear" w:color="auto" w:fill="FFFFFF"/>
          <w:lang w:val="cs-CZ"/>
        </w:rPr>
      </w:pPr>
    </w:p>
    <w:p w14:paraId="162FAC6A" w14:textId="77777777" w:rsidR="00342A67" w:rsidRPr="00342A67" w:rsidRDefault="00342A67" w:rsidP="00342A67">
      <w:pPr>
        <w:spacing w:line="276" w:lineRule="auto"/>
        <w:jc w:val="both"/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</w:pPr>
      <w:r w:rsidRPr="00342A67">
        <w:rPr>
          <w:rFonts w:asciiTheme="majorHAnsi" w:hAnsiTheme="majorHAnsi" w:cstheme="minorHAnsi"/>
          <w:b/>
          <w:sz w:val="18"/>
          <w:szCs w:val="18"/>
        </w:rPr>
        <w:t>PIOTR BINAS –</w:t>
      </w:r>
      <w:r w:rsidRPr="00342A67"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  <w:t xml:space="preserve"> Jest absolwentem Wydziału Prawa i Administracji Uniwersytetu im. Adama Mickiewicza w Poznaniu oraz Uniwersytetu Europejskiego </w:t>
      </w:r>
      <w:proofErr w:type="spellStart"/>
      <w:r w:rsidRPr="00342A67"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  <w:t>Viadrina</w:t>
      </w:r>
      <w:proofErr w:type="spellEnd"/>
      <w:r w:rsidRPr="00342A67"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  <w:t xml:space="preserve"> we Frankfurcie nad Odrą. Studiował również na Uniwersytecie im. </w:t>
      </w:r>
      <w:proofErr w:type="spellStart"/>
      <w:r w:rsidRPr="00342A67">
        <w:rPr>
          <w:rFonts w:asciiTheme="majorHAnsi" w:hAnsiTheme="majorHAnsi" w:cstheme="minorHAnsi"/>
          <w:color w:val="000000"/>
          <w:kern w:val="36"/>
          <w:sz w:val="18"/>
          <w:szCs w:val="18"/>
        </w:rPr>
        <w:t>Loránda</w:t>
      </w:r>
      <w:proofErr w:type="spellEnd"/>
      <w:r w:rsidRPr="00342A67">
        <w:rPr>
          <w:rFonts w:asciiTheme="majorHAnsi" w:hAnsiTheme="majorHAnsi" w:cstheme="minorHAnsi"/>
          <w:color w:val="000000"/>
          <w:kern w:val="36"/>
          <w:sz w:val="18"/>
          <w:szCs w:val="18"/>
        </w:rPr>
        <w:t xml:space="preserve"> </w:t>
      </w:r>
      <w:proofErr w:type="spellStart"/>
      <w:r w:rsidRPr="00342A67">
        <w:rPr>
          <w:rFonts w:asciiTheme="majorHAnsi" w:hAnsiTheme="majorHAnsi" w:cstheme="minorHAnsi"/>
          <w:color w:val="000000"/>
          <w:kern w:val="36"/>
          <w:sz w:val="18"/>
          <w:szCs w:val="18"/>
        </w:rPr>
        <w:t>Eötvösa</w:t>
      </w:r>
      <w:proofErr w:type="spellEnd"/>
      <w:r w:rsidRPr="00342A67">
        <w:rPr>
          <w:rFonts w:asciiTheme="majorHAnsi" w:hAnsiTheme="majorHAnsi" w:cstheme="minorHAnsi"/>
          <w:color w:val="000000"/>
          <w:kern w:val="36"/>
          <w:sz w:val="18"/>
          <w:szCs w:val="18"/>
        </w:rPr>
        <w:t xml:space="preserve"> w </w:t>
      </w:r>
      <w:proofErr w:type="spellStart"/>
      <w:r w:rsidRPr="00342A67">
        <w:rPr>
          <w:rFonts w:asciiTheme="majorHAnsi" w:hAnsiTheme="majorHAnsi" w:cstheme="minorHAnsi"/>
          <w:color w:val="000000"/>
          <w:kern w:val="36"/>
          <w:sz w:val="18"/>
          <w:szCs w:val="18"/>
        </w:rPr>
        <w:t>Budapeszcie.</w:t>
      </w:r>
      <w:r w:rsidRPr="00342A67"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  <w:t>W</w:t>
      </w:r>
      <w:proofErr w:type="spellEnd"/>
      <w:r w:rsidRPr="00342A67">
        <w:rPr>
          <w:rFonts w:asciiTheme="majorHAnsi" w:hAnsiTheme="majorHAnsi" w:cstheme="minorHAnsi"/>
          <w:color w:val="222222"/>
          <w:sz w:val="18"/>
          <w:szCs w:val="18"/>
          <w:shd w:val="clear" w:color="auto" w:fill="FFFFFF"/>
        </w:rPr>
        <w:t xml:space="preserve"> 2011 roku obronił na Uniwersytecie im. Adama Mickiewicza w Poznaniu rozprawę doktorską pod tytułem „Pojednanie sprawcy przestępstwa z pokrzywdzonym w polskim prawie karnym” i uzyskał stopień doktora nauk prawnych. Jest autorem publikacji z zakresu prawa karnego i prawa postępowania karnego, a także wykładowcą Wyższej Szkoły Umiejętności Społecznych w Poznaniu z zakresu prawa postępowania karnego. Uczestnik wielu szkoleń i konferencji naukowych. Od 2008 r. jest adwokatem w Wielkopolskiej Izbie Adwokackiej. Zawód wykonywał w kancelariach „Reichelt, Gutowski i Partnerzy” oraz – do chwili obecnej – w firmie „Gutowski i Wspólnicy Adwokacka Spółka Komandytowa”. Pełni funkcję sędziego i wiceprezesa Sądu Dyscyplinarnego Izby Adwokackiej w Poznaniu. Od wielu lat jest wykładowcą szkoleń dla aplikantów adwokackich oraz członkiem Komisji Szkolenia przy Okręgowej Radzie Adwokackiej w Poznaniu. Od 2014 r. działa jako członek Komisji MS do przeprowadzenia egzaminu adwokackiego.</w:t>
      </w:r>
      <w:r w:rsidRPr="00342A67">
        <w:rPr>
          <w:rFonts w:asciiTheme="majorHAnsi" w:hAnsiTheme="majorHAnsi"/>
          <w:sz w:val="18"/>
          <w:szCs w:val="18"/>
        </w:rPr>
        <w:t xml:space="preserve"> Autor wielu publikacji, w obszarze prawa karnego gospodarczego oraz szkoleń o tematyce „Przedsiębiorca a postępowanie karne”</w:t>
      </w:r>
    </w:p>
    <w:p w14:paraId="3DF61581" w14:textId="77777777" w:rsidR="00342A67" w:rsidRDefault="00342A67" w:rsidP="00581E5B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b/>
          <w:color w:val="000000"/>
          <w:sz w:val="18"/>
          <w:szCs w:val="18"/>
          <w:shd w:val="clear" w:color="auto" w:fill="FFFFFF"/>
        </w:rPr>
      </w:pPr>
    </w:p>
    <w:p w14:paraId="24A3DC24" w14:textId="77777777" w:rsidR="00605BBF" w:rsidRPr="00342A67" w:rsidRDefault="005B33CC" w:rsidP="00581E5B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sz w:val="18"/>
          <w:szCs w:val="18"/>
        </w:rPr>
      </w:pPr>
      <w:r w:rsidRPr="00342A67">
        <w:rPr>
          <w:rFonts w:asciiTheme="majorHAnsi" w:hAnsiTheme="majorHAnsi" w:cstheme="minorHAnsi"/>
          <w:b/>
          <w:color w:val="000000"/>
          <w:sz w:val="18"/>
          <w:szCs w:val="18"/>
          <w:shd w:val="clear" w:color="auto" w:fill="FFFFFF"/>
          <w:lang w:val="cs-CZ"/>
        </w:rPr>
        <w:t xml:space="preserve">DARIUSZ WILCZEWSKI – </w:t>
      </w:r>
      <w:r w:rsidRPr="00342A67">
        <w:rPr>
          <w:rFonts w:asciiTheme="majorHAnsi" w:hAnsiTheme="majorHAnsi" w:cstheme="minorHAnsi"/>
          <w:sz w:val="18"/>
          <w:szCs w:val="18"/>
        </w:rPr>
        <w:t>prawnik, arbiter Sądu Arbitrażowego Izb i Organizacji Gospodarczych Wielkopolski. Mediator Konińskiej Izby Stały mediator przy Sądzie Okręgowym w Koninie, Poznaniu i Gdańsku. Mediator Ośrodka Mediacyjnego przy Konińskiej Izbie Gospodarczej, Wielkopolskiego Centrum Arbitrażu i Mediacji oraz Pomorskiego Centrum Arbitrażu i Mediacji. Posiada Certyfikat ukończenia specjalistycznego szkolenia w zakresie alternatywnych sposobów rozwiązywania sporów w sprawach gospodarczych, organizowanego przy współudziale Ministerstwa Sprawiedliwości oraz Dyplom ukończenia szkolenia dla mediatorów organizowanego przy współudziale Ministerstwa Gospodarki. Trener i wykłado</w:t>
      </w:r>
      <w:r w:rsidR="00605BBF" w:rsidRPr="00342A67">
        <w:rPr>
          <w:rFonts w:asciiTheme="majorHAnsi" w:hAnsiTheme="majorHAnsi" w:cstheme="minorHAnsi"/>
          <w:sz w:val="18"/>
          <w:szCs w:val="18"/>
        </w:rPr>
        <w:t>wca.</w:t>
      </w:r>
    </w:p>
    <w:p w14:paraId="3D412898" w14:textId="77777777" w:rsidR="00605BBF" w:rsidRPr="00342A67" w:rsidRDefault="00581E5B" w:rsidP="00342A67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i/>
          <w:sz w:val="18"/>
          <w:szCs w:val="18"/>
        </w:rPr>
      </w:pPr>
      <w:r w:rsidRPr="00342A67">
        <w:rPr>
          <w:rFonts w:asciiTheme="majorHAnsi" w:hAnsiTheme="majorHAnsi" w:cstheme="minorHAnsi"/>
          <w:i/>
          <w:sz w:val="18"/>
          <w:szCs w:val="18"/>
        </w:rPr>
        <w:t>( prowadzi szkolenie w Koninie)</w:t>
      </w:r>
    </w:p>
    <w:sectPr w:rsidR="00605BBF" w:rsidRPr="00342A67" w:rsidSect="005B33CC">
      <w:headerReference w:type="default" r:id="rId8"/>
      <w:footerReference w:type="default" r:id="rId9"/>
      <w:pgSz w:w="11906" w:h="16838"/>
      <w:pgMar w:top="851" w:right="1134" w:bottom="624" w:left="1134" w:header="425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7A652" w14:textId="77777777" w:rsidR="002B7493" w:rsidRDefault="002B7493" w:rsidP="00106107">
      <w:r>
        <w:separator/>
      </w:r>
    </w:p>
  </w:endnote>
  <w:endnote w:type="continuationSeparator" w:id="0">
    <w:p w14:paraId="415BAC47" w14:textId="77777777" w:rsidR="002B7493" w:rsidRDefault="002B7493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76DCB" w14:textId="77777777"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 wp14:anchorId="4AC86345" wp14:editId="04952D01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14:paraId="78DBCFE5" w14:textId="77777777"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proofErr w:type="spellStart"/>
    <w:r w:rsidRPr="00E05FA7">
      <w:rPr>
        <w:rStyle w:val="Hipercze"/>
        <w:rFonts w:asciiTheme="minorHAnsi" w:hAnsiTheme="minorHAnsi" w:cstheme="minorHAnsi"/>
        <w:sz w:val="18"/>
        <w:szCs w:val="18"/>
      </w:rPr>
      <w:t>pcm@mediacje.poznan.p</w:t>
    </w:r>
    <w:proofErr w:type="spellEnd"/>
    <w:r w:rsidRPr="00E05FA7">
      <w:rPr>
        <w:rStyle w:val="Hipercze"/>
        <w:rFonts w:asciiTheme="minorHAnsi" w:hAnsiTheme="minorHAnsi" w:cstheme="minorHAnsi"/>
        <w:sz w:val="18"/>
        <w:szCs w:val="18"/>
      </w:rPr>
      <w:t xml:space="preserve">;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14:paraId="23C38B84" w14:textId="77777777"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14:paraId="1FCBFC3B" w14:textId="77777777"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14:paraId="6F981C87" w14:textId="77777777"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14:paraId="398B509E" w14:textId="77777777"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1B96D" w14:textId="77777777" w:rsidR="002B7493" w:rsidRDefault="002B7493" w:rsidP="00106107">
      <w:r>
        <w:separator/>
      </w:r>
    </w:p>
  </w:footnote>
  <w:footnote w:type="continuationSeparator" w:id="0">
    <w:p w14:paraId="5AED72E7" w14:textId="77777777" w:rsidR="002B7493" w:rsidRDefault="002B7493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1F959" w14:textId="77777777" w:rsidR="00DB77D1" w:rsidRDefault="00DB77D1" w:rsidP="00DB77D1">
    <w:pPr>
      <w:pStyle w:val="Nagwek"/>
    </w:pPr>
  </w:p>
  <w:p w14:paraId="34F7AE2A" w14:textId="77777777"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5BC447C" wp14:editId="529C30E6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CE14B24" w14:textId="77777777"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 wp14:anchorId="4D0CB81A" wp14:editId="7BFFA165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 wp14:anchorId="18DFABBC" wp14:editId="57CC1181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AFF3F70"/>
    <w:multiLevelType w:val="hybridMultilevel"/>
    <w:tmpl w:val="9239C1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10CFAC"/>
    <w:multiLevelType w:val="hybridMultilevel"/>
    <w:tmpl w:val="67117F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4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5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6" w15:restartNumberingAfterBreak="0">
    <w:nsid w:val="1772762B"/>
    <w:multiLevelType w:val="hybridMultilevel"/>
    <w:tmpl w:val="096376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0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6BB2D62"/>
    <w:multiLevelType w:val="hybridMultilevel"/>
    <w:tmpl w:val="998281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"/>
  </w:num>
  <w:num w:numId="11">
    <w:abstractNumId w:val="0"/>
  </w:num>
  <w:num w:numId="12">
    <w:abstractNumId w:val="6"/>
  </w:num>
  <w:num w:numId="1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07"/>
    <w:rsid w:val="0001697D"/>
    <w:rsid w:val="00055593"/>
    <w:rsid w:val="00071210"/>
    <w:rsid w:val="00090ABB"/>
    <w:rsid w:val="000952DE"/>
    <w:rsid w:val="000A2302"/>
    <w:rsid w:val="000A2A1D"/>
    <w:rsid w:val="000A465E"/>
    <w:rsid w:val="000B1DEE"/>
    <w:rsid w:val="000B7620"/>
    <w:rsid w:val="000D0215"/>
    <w:rsid w:val="000D1F4A"/>
    <w:rsid w:val="000D3C6E"/>
    <w:rsid w:val="000D7236"/>
    <w:rsid w:val="00101DBD"/>
    <w:rsid w:val="00106107"/>
    <w:rsid w:val="00140B7D"/>
    <w:rsid w:val="00151305"/>
    <w:rsid w:val="00166D9C"/>
    <w:rsid w:val="0017442B"/>
    <w:rsid w:val="00180900"/>
    <w:rsid w:val="00183423"/>
    <w:rsid w:val="0018389E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458E0"/>
    <w:rsid w:val="002550B4"/>
    <w:rsid w:val="00256DFC"/>
    <w:rsid w:val="0026055E"/>
    <w:rsid w:val="002667CC"/>
    <w:rsid w:val="00284C04"/>
    <w:rsid w:val="002A48FA"/>
    <w:rsid w:val="002B7493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42A67"/>
    <w:rsid w:val="0035006D"/>
    <w:rsid w:val="00350985"/>
    <w:rsid w:val="00360A77"/>
    <w:rsid w:val="00364104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13269"/>
    <w:rsid w:val="00575D48"/>
    <w:rsid w:val="00581E5B"/>
    <w:rsid w:val="00583F3C"/>
    <w:rsid w:val="00593621"/>
    <w:rsid w:val="005957C8"/>
    <w:rsid w:val="005A19C3"/>
    <w:rsid w:val="005A3CE5"/>
    <w:rsid w:val="005A6142"/>
    <w:rsid w:val="005B33CC"/>
    <w:rsid w:val="005C5D63"/>
    <w:rsid w:val="005F3BAE"/>
    <w:rsid w:val="00605BBF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55D30"/>
    <w:rsid w:val="00665979"/>
    <w:rsid w:val="00683F23"/>
    <w:rsid w:val="006B345D"/>
    <w:rsid w:val="006C4FA5"/>
    <w:rsid w:val="006C5689"/>
    <w:rsid w:val="006C649C"/>
    <w:rsid w:val="006D2678"/>
    <w:rsid w:val="006E0731"/>
    <w:rsid w:val="006F2B28"/>
    <w:rsid w:val="00721AF0"/>
    <w:rsid w:val="00723969"/>
    <w:rsid w:val="007354D9"/>
    <w:rsid w:val="00747BB8"/>
    <w:rsid w:val="007831B0"/>
    <w:rsid w:val="007833AE"/>
    <w:rsid w:val="00794BD9"/>
    <w:rsid w:val="007A1BD1"/>
    <w:rsid w:val="007A1D79"/>
    <w:rsid w:val="007B2FF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27737"/>
    <w:rsid w:val="00A36082"/>
    <w:rsid w:val="00A4460F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1511E"/>
    <w:rsid w:val="00B410AC"/>
    <w:rsid w:val="00B51272"/>
    <w:rsid w:val="00B84489"/>
    <w:rsid w:val="00B94F89"/>
    <w:rsid w:val="00BB0830"/>
    <w:rsid w:val="00BC482F"/>
    <w:rsid w:val="00BF5521"/>
    <w:rsid w:val="00C07F93"/>
    <w:rsid w:val="00C214A4"/>
    <w:rsid w:val="00C331E0"/>
    <w:rsid w:val="00C342E8"/>
    <w:rsid w:val="00C35A3C"/>
    <w:rsid w:val="00C360B2"/>
    <w:rsid w:val="00C4249F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B7854"/>
    <w:rsid w:val="00CC53B5"/>
    <w:rsid w:val="00CC6DA8"/>
    <w:rsid w:val="00D133BE"/>
    <w:rsid w:val="00D15E05"/>
    <w:rsid w:val="00D53D22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5FA7"/>
    <w:rsid w:val="00E06D6D"/>
    <w:rsid w:val="00E13197"/>
    <w:rsid w:val="00E15C1E"/>
    <w:rsid w:val="00E164A4"/>
    <w:rsid w:val="00E21DA2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D2302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B58B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26334A99"/>
  <w15:docId w15:val="{C4716734-DE5E-4809-9B9E-0250A667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33F1F-3A73-497E-A8CB-B41C04166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918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4</cp:revision>
  <cp:lastPrinted>2019-02-22T12:35:00Z</cp:lastPrinted>
  <dcterms:created xsi:type="dcterms:W3CDTF">2019-02-22T11:22:00Z</dcterms:created>
  <dcterms:modified xsi:type="dcterms:W3CDTF">2019-02-22T12:35:00Z</dcterms:modified>
</cp:coreProperties>
</file>