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44" w:rsidRPr="00691C98" w:rsidRDefault="00A972C0" w:rsidP="00691C98">
      <w:pPr>
        <w:spacing w:after="120" w:line="360" w:lineRule="auto"/>
        <w:ind w:left="510" w:hanging="510"/>
        <w:jc w:val="center"/>
        <w:rPr>
          <w:rFonts w:ascii="Times New Roman" w:hAnsi="Times New Roman"/>
          <w:b/>
          <w:bCs/>
          <w:caps/>
          <w:lang w:eastAsia="pl-PL"/>
        </w:rPr>
      </w:pPr>
      <w:r w:rsidRPr="00691C98">
        <w:rPr>
          <w:rFonts w:ascii="Times New Roman" w:hAnsi="Times New Roman"/>
          <w:b/>
          <w:bCs/>
          <w:caps/>
          <w:lang w:eastAsia="pl-PL"/>
        </w:rPr>
        <w:t>Uzasadnienie</w:t>
      </w:r>
    </w:p>
    <w:p w:rsidR="00AD7CD3" w:rsidRPr="00691C98" w:rsidRDefault="00AD7CD3" w:rsidP="00EC324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Cel i potrzeba ustawy</w:t>
      </w:r>
    </w:p>
    <w:p w:rsidR="002711FD" w:rsidRPr="00691C98" w:rsidRDefault="002711FD"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8 marca 2020 r. weszła w życie ustawa o szczególnych rozwiązaniach związanych z zapobieganiem, przeciwdziałaniem i zwalczaniem COVID-19, innych chorób zakaźnych oraz wywołanych nimi sytuacji kryzysowych</w:t>
      </w:r>
      <w:r w:rsidR="00C46112">
        <w:rPr>
          <w:rFonts w:ascii="Times New Roman" w:hAnsi="Times New Roman"/>
          <w:lang w:eastAsia="pl-PL"/>
        </w:rPr>
        <w:t xml:space="preserve"> (dalej: specustawa). K</w:t>
      </w:r>
      <w:r w:rsidRPr="00691C98">
        <w:rPr>
          <w:rFonts w:ascii="Times New Roman" w:hAnsi="Times New Roman"/>
          <w:lang w:eastAsia="pl-PL"/>
        </w:rPr>
        <w:t xml:space="preserve">oncentrowała się </w:t>
      </w:r>
      <w:r w:rsidR="00C46112">
        <w:rPr>
          <w:rFonts w:ascii="Times New Roman" w:hAnsi="Times New Roman"/>
          <w:lang w:eastAsia="pl-PL"/>
        </w:rPr>
        <w:t xml:space="preserve">ona </w:t>
      </w:r>
      <w:r w:rsidRPr="00691C98">
        <w:rPr>
          <w:rFonts w:ascii="Times New Roman" w:hAnsi="Times New Roman"/>
          <w:lang w:eastAsia="pl-PL"/>
        </w:rPr>
        <w:t>na regulacjach z zakresu zapobiegania oraz zwalczania zakażenia i rozprzestrzeniania się choroby zakaźnej u ludzi</w:t>
      </w:r>
      <w:r w:rsidR="0067395A" w:rsidRPr="00691C98">
        <w:rPr>
          <w:rFonts w:ascii="Times New Roman" w:hAnsi="Times New Roman"/>
          <w:lang w:eastAsia="pl-PL"/>
        </w:rPr>
        <w:t>, wywołanej wirusem SARS-CoV-2.</w:t>
      </w:r>
    </w:p>
    <w:p w:rsidR="00467D8B" w:rsidRPr="00691C98" w:rsidRDefault="00C46112"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Podejmowane przez władze publiczne d</w:t>
      </w:r>
      <w:r w:rsidR="00467D8B" w:rsidRPr="00691C98">
        <w:rPr>
          <w:rFonts w:ascii="Times New Roman" w:hAnsi="Times New Roman"/>
          <w:lang w:eastAsia="pl-PL"/>
        </w:rPr>
        <w:t>ziałania prewencyjne, minimalizujące rozprzestrzenianie się COVID-19, obejmują m.in. kwarantannę osób mających kontakt z zakażonymi, zamykanie placówek, czy też odwoływanie wydarzeń i</w:t>
      </w:r>
      <w:r w:rsidR="00B812C0">
        <w:rPr>
          <w:rFonts w:ascii="Times New Roman" w:hAnsi="Times New Roman"/>
          <w:lang w:eastAsia="pl-PL"/>
        </w:rPr>
        <w:t xml:space="preserve"> </w:t>
      </w:r>
      <w:r w:rsidR="00467D8B" w:rsidRPr="00691C98">
        <w:rPr>
          <w:rFonts w:ascii="Times New Roman" w:hAnsi="Times New Roman"/>
          <w:lang w:eastAsia="pl-PL"/>
        </w:rPr>
        <w:t>imprez masowych. To z kolei może prowadzić do wstrzymania produkcji i świadczenia usług, a w efekcie do trudności finansow</w:t>
      </w:r>
      <w:r w:rsidR="009343ED" w:rsidRPr="00691C98">
        <w:rPr>
          <w:rFonts w:ascii="Times New Roman" w:hAnsi="Times New Roman"/>
          <w:lang w:eastAsia="pl-PL"/>
        </w:rPr>
        <w:t>ych poszczególnych firm.</w:t>
      </w:r>
    </w:p>
    <w:p w:rsidR="003C765F" w:rsidRPr="00691C98" w:rsidRDefault="00062800"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lang w:eastAsia="pl-PL"/>
        </w:rPr>
        <w:t xml:space="preserve">Ekonomiczne skutki rozprzestrzeniania się COVID-19 </w:t>
      </w:r>
      <w:r w:rsidR="003C765F" w:rsidRPr="00691C98">
        <w:rPr>
          <w:rFonts w:ascii="Times New Roman" w:hAnsi="Times New Roman"/>
          <w:lang w:eastAsia="pl-PL"/>
        </w:rPr>
        <w:t>występują</w:t>
      </w:r>
      <w:r w:rsidRPr="00691C98">
        <w:rPr>
          <w:rFonts w:ascii="Times New Roman" w:hAnsi="Times New Roman"/>
          <w:lang w:eastAsia="pl-PL"/>
        </w:rPr>
        <w:t xml:space="preserve"> nie tylko </w:t>
      </w:r>
      <w:r w:rsidR="003C765F" w:rsidRPr="00691C98">
        <w:rPr>
          <w:rFonts w:ascii="Times New Roman" w:hAnsi="Times New Roman"/>
          <w:lang w:eastAsia="pl-PL"/>
        </w:rPr>
        <w:t>u</w:t>
      </w:r>
      <w:r w:rsidRPr="00691C98">
        <w:rPr>
          <w:rFonts w:ascii="Times New Roman" w:hAnsi="Times New Roman"/>
          <w:lang w:eastAsia="pl-PL"/>
        </w:rPr>
        <w:t xml:space="preserve"> przedsiębiorców, których zakład pracy został zamknięty w związku z przypadkami zakażenia pracowników COVID-19 czy objęcia ich kwarantanną. </w:t>
      </w:r>
      <w:r w:rsidR="003C765F" w:rsidRPr="00691C98">
        <w:rPr>
          <w:rFonts w:ascii="Times New Roman" w:hAnsi="Times New Roman"/>
          <w:lang w:eastAsia="pl-PL"/>
        </w:rPr>
        <w:t>Dotyczą</w:t>
      </w:r>
      <w:r w:rsidRPr="00691C98">
        <w:rPr>
          <w:rFonts w:ascii="Times New Roman" w:hAnsi="Times New Roman"/>
          <w:lang w:eastAsia="pl-PL"/>
        </w:rPr>
        <w:t xml:space="preserve"> one również </w:t>
      </w:r>
      <w:r w:rsidR="003C765F" w:rsidRPr="00691C98">
        <w:rPr>
          <w:rFonts w:ascii="Times New Roman" w:hAnsi="Times New Roman"/>
          <w:lang w:eastAsia="pl-PL"/>
        </w:rPr>
        <w:t>firm eksportujących</w:t>
      </w:r>
      <w:r w:rsidRPr="00691C98">
        <w:rPr>
          <w:rFonts w:ascii="Times New Roman" w:hAnsi="Times New Roman"/>
          <w:lang w:eastAsia="pl-PL"/>
        </w:rPr>
        <w:t xml:space="preserve"> </w:t>
      </w:r>
      <w:r w:rsidR="003C765F" w:rsidRPr="00691C98">
        <w:rPr>
          <w:rFonts w:ascii="Times New Roman" w:hAnsi="Times New Roman"/>
          <w:lang w:eastAsia="pl-PL"/>
        </w:rPr>
        <w:t>albo importujących</w:t>
      </w:r>
      <w:r w:rsidR="00B812C0">
        <w:rPr>
          <w:rFonts w:ascii="Times New Roman" w:hAnsi="Times New Roman"/>
          <w:lang w:eastAsia="pl-PL"/>
        </w:rPr>
        <w:t xml:space="preserve"> towary do/z </w:t>
      </w:r>
      <w:r w:rsidRPr="00691C98">
        <w:rPr>
          <w:rFonts w:ascii="Times New Roman" w:hAnsi="Times New Roman"/>
          <w:lang w:eastAsia="pl-PL"/>
        </w:rPr>
        <w:t xml:space="preserve">regionów świata, gdzie występują </w:t>
      </w:r>
      <w:r w:rsidR="003C765F" w:rsidRPr="00691C98">
        <w:rPr>
          <w:rFonts w:ascii="Times New Roman" w:hAnsi="Times New Roman"/>
          <w:lang w:eastAsia="pl-PL"/>
        </w:rPr>
        <w:t>utrudnienia</w:t>
      </w:r>
      <w:r w:rsidRPr="00691C98">
        <w:rPr>
          <w:rFonts w:ascii="Times New Roman" w:hAnsi="Times New Roman"/>
          <w:lang w:eastAsia="pl-PL"/>
        </w:rPr>
        <w:t xml:space="preserve"> w handlu</w:t>
      </w:r>
      <w:r w:rsidR="003C765F" w:rsidRPr="00691C98">
        <w:rPr>
          <w:rFonts w:ascii="Times New Roman" w:hAnsi="Times New Roman"/>
          <w:lang w:eastAsia="pl-PL"/>
        </w:rPr>
        <w:t xml:space="preserve"> spowodowane</w:t>
      </w:r>
      <w:r w:rsidRPr="00691C98">
        <w:rPr>
          <w:rFonts w:ascii="Times New Roman" w:hAnsi="Times New Roman"/>
          <w:lang w:eastAsia="pl-PL"/>
        </w:rPr>
        <w:t xml:space="preserve"> </w:t>
      </w:r>
      <w:r w:rsidR="003C765F" w:rsidRPr="00691C98">
        <w:rPr>
          <w:rFonts w:ascii="Times New Roman" w:hAnsi="Times New Roman"/>
          <w:lang w:eastAsia="pl-PL"/>
        </w:rPr>
        <w:t>rozprzestrzenianiem się COVID-19. Utrudnienia w międzynarodowych relacjach biznesowych mają wieloraki charakter, występują również w sektorze usług. Ponadto środki zapobiegawcze podejmowane w celu zahamowania rozprzestrzeniania się COVID-19 wpływa</w:t>
      </w:r>
      <w:r w:rsidR="009343ED" w:rsidRPr="00691C98">
        <w:rPr>
          <w:rFonts w:ascii="Times New Roman" w:hAnsi="Times New Roman"/>
          <w:lang w:eastAsia="pl-PL"/>
        </w:rPr>
        <w:t>ją na zachowania konsumentów, w </w:t>
      </w:r>
      <w:r w:rsidR="003C765F" w:rsidRPr="00691C98">
        <w:rPr>
          <w:rFonts w:ascii="Times New Roman" w:hAnsi="Times New Roman"/>
          <w:lang w:eastAsia="pl-PL"/>
        </w:rPr>
        <w:t xml:space="preserve">szczególności w branżach takich jak: hotelarstwo, turystyka, transport, </w:t>
      </w:r>
      <w:r w:rsidR="009343ED" w:rsidRPr="00691C98">
        <w:rPr>
          <w:rFonts w:ascii="Times New Roman" w:hAnsi="Times New Roman"/>
          <w:lang w:eastAsia="pl-PL"/>
        </w:rPr>
        <w:t>usługi rozrywkowe i </w:t>
      </w:r>
      <w:r w:rsidR="003C765F" w:rsidRPr="00691C98">
        <w:rPr>
          <w:rFonts w:ascii="Times New Roman" w:hAnsi="Times New Roman"/>
          <w:lang w:eastAsia="pl-PL"/>
        </w:rPr>
        <w:t xml:space="preserve">kulturalne. </w:t>
      </w:r>
      <w:r w:rsidR="008430E9" w:rsidRPr="00691C98">
        <w:rPr>
          <w:rFonts w:ascii="Times New Roman" w:hAnsi="Times New Roman"/>
          <w:color w:val="000000"/>
        </w:rPr>
        <w:t>Z</w:t>
      </w:r>
      <w:r w:rsidR="00B812C0">
        <w:rPr>
          <w:rFonts w:ascii="Times New Roman" w:hAnsi="Times New Roman"/>
          <w:color w:val="000000"/>
        </w:rPr>
        <w:t xml:space="preserve"> </w:t>
      </w:r>
      <w:r w:rsidR="008430E9" w:rsidRPr="00691C98">
        <w:rPr>
          <w:rFonts w:ascii="Times New Roman" w:hAnsi="Times New Roman"/>
          <w:color w:val="000000"/>
        </w:rPr>
        <w:t>dnia na dzień liczba zleceń ulega drastyc</w:t>
      </w:r>
      <w:r w:rsidR="000A197B">
        <w:rPr>
          <w:rFonts w:ascii="Times New Roman" w:hAnsi="Times New Roman"/>
          <w:color w:val="000000"/>
        </w:rPr>
        <w:t>znemu zmniejszeniu, a te, które zostały już podjęte,</w:t>
      </w:r>
      <w:r w:rsidR="008430E9" w:rsidRPr="00691C98">
        <w:rPr>
          <w:rFonts w:ascii="Times New Roman" w:hAnsi="Times New Roman"/>
          <w:color w:val="000000"/>
        </w:rPr>
        <w:t xml:space="preserve"> </w:t>
      </w:r>
      <w:r w:rsidR="000A197B">
        <w:rPr>
          <w:rFonts w:ascii="Times New Roman" w:hAnsi="Times New Roman"/>
          <w:color w:val="000000"/>
        </w:rPr>
        <w:t>są</w:t>
      </w:r>
      <w:r w:rsidR="008430E9" w:rsidRPr="00691C98">
        <w:rPr>
          <w:rFonts w:ascii="Times New Roman" w:hAnsi="Times New Roman"/>
          <w:color w:val="000000"/>
        </w:rPr>
        <w:t xml:space="preserve"> często przery</w:t>
      </w:r>
      <w:r w:rsidR="000A197B">
        <w:rPr>
          <w:rFonts w:ascii="Times New Roman" w:hAnsi="Times New Roman"/>
          <w:color w:val="000000"/>
        </w:rPr>
        <w:t>wane</w:t>
      </w:r>
      <w:r w:rsidR="009343ED" w:rsidRPr="00691C98">
        <w:rPr>
          <w:rFonts w:ascii="Times New Roman" w:hAnsi="Times New Roman"/>
          <w:color w:val="000000"/>
        </w:rPr>
        <w:t xml:space="preserve"> w trakcie ich wykonywania.</w:t>
      </w:r>
    </w:p>
    <w:p w:rsidR="00B379C3" w:rsidRPr="00691C98" w:rsidRDefault="003C765F"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color w:val="000000"/>
        </w:rPr>
        <w:t xml:space="preserve">Wobec powyższego zaistniała potrzeba wprowadzenia szczególnych rozwiązań mających na celu przeciwdziałanie negatywnym skutkom gospodarczym tej sytuacji. </w:t>
      </w:r>
      <w:r w:rsidR="00C3237F" w:rsidRPr="00691C98">
        <w:rPr>
          <w:rFonts w:ascii="Times New Roman" w:hAnsi="Times New Roman"/>
          <w:lang w:eastAsia="pl-PL"/>
        </w:rPr>
        <w:t xml:space="preserve">Konieczne </w:t>
      </w:r>
      <w:r w:rsidR="00C46112">
        <w:rPr>
          <w:rFonts w:ascii="Times New Roman" w:hAnsi="Times New Roman"/>
          <w:lang w:eastAsia="pl-PL"/>
        </w:rPr>
        <w:t>stało się</w:t>
      </w:r>
      <w:r w:rsidR="00C3237F" w:rsidRPr="00691C98">
        <w:rPr>
          <w:rFonts w:ascii="Times New Roman" w:hAnsi="Times New Roman"/>
          <w:lang w:eastAsia="pl-PL"/>
        </w:rPr>
        <w:t xml:space="preserve"> </w:t>
      </w:r>
      <w:r w:rsidR="00C46112">
        <w:rPr>
          <w:rFonts w:ascii="Times New Roman" w:hAnsi="Times New Roman"/>
          <w:lang w:eastAsia="pl-PL"/>
        </w:rPr>
        <w:t>opracowanie</w:t>
      </w:r>
      <w:r w:rsidR="00C3237F" w:rsidRPr="00691C98">
        <w:rPr>
          <w:rFonts w:ascii="Times New Roman" w:hAnsi="Times New Roman"/>
          <w:lang w:eastAsia="pl-PL"/>
        </w:rPr>
        <w:t xml:space="preserve"> pakietu osłon</w:t>
      </w:r>
      <w:r w:rsidR="00F41C4B" w:rsidRPr="00691C98">
        <w:rPr>
          <w:rFonts w:ascii="Times New Roman" w:hAnsi="Times New Roman"/>
          <w:lang w:eastAsia="pl-PL"/>
        </w:rPr>
        <w:t xml:space="preserve">owego dla firm, zapobiegającego zwłaszcza utracie płynności </w:t>
      </w:r>
      <w:r w:rsidR="00C46112">
        <w:rPr>
          <w:rFonts w:ascii="Times New Roman" w:hAnsi="Times New Roman"/>
          <w:lang w:eastAsia="pl-PL"/>
        </w:rPr>
        <w:t xml:space="preserve">w ramach </w:t>
      </w:r>
      <w:r w:rsidR="00F41C4B" w:rsidRPr="00691C98">
        <w:rPr>
          <w:rFonts w:ascii="Times New Roman" w:hAnsi="Times New Roman"/>
          <w:lang w:eastAsia="pl-PL"/>
        </w:rPr>
        <w:t xml:space="preserve">prowadzonych </w:t>
      </w:r>
      <w:r w:rsidR="00C46112">
        <w:rPr>
          <w:rFonts w:ascii="Times New Roman" w:hAnsi="Times New Roman"/>
          <w:lang w:eastAsia="pl-PL"/>
        </w:rPr>
        <w:t xml:space="preserve">przez nie </w:t>
      </w:r>
      <w:r w:rsidR="00F41C4B" w:rsidRPr="00691C98">
        <w:rPr>
          <w:rFonts w:ascii="Times New Roman" w:hAnsi="Times New Roman"/>
          <w:lang w:eastAsia="pl-PL"/>
        </w:rPr>
        <w:t>działalności.</w:t>
      </w:r>
      <w:r w:rsidR="00B379C3" w:rsidRPr="00691C98">
        <w:rPr>
          <w:rFonts w:ascii="Times New Roman" w:hAnsi="Times New Roman"/>
          <w:lang w:eastAsia="pl-PL"/>
        </w:rPr>
        <w:t xml:space="preserve"> </w:t>
      </w:r>
      <w:r w:rsidR="00C46112">
        <w:rPr>
          <w:rFonts w:ascii="Times New Roman" w:hAnsi="Times New Roman"/>
          <w:lang w:eastAsia="pl-PL"/>
        </w:rPr>
        <w:t>Przedkładany p</w:t>
      </w:r>
      <w:r w:rsidR="00B379C3" w:rsidRPr="00691C98">
        <w:rPr>
          <w:rFonts w:ascii="Times New Roman" w:hAnsi="Times New Roman"/>
          <w:lang w:eastAsia="pl-PL"/>
        </w:rPr>
        <w:t xml:space="preserve">rojekt ustawy </w:t>
      </w:r>
      <w:r w:rsidR="000A129F" w:rsidRPr="00691C98">
        <w:rPr>
          <w:rFonts w:ascii="Times New Roman" w:hAnsi="Times New Roman"/>
          <w:lang w:eastAsia="pl-PL"/>
        </w:rPr>
        <w:t>pozwoli na uruchomienie nadzwyczajnych instrumentów wspierających przedsiębiorców w tym okresie.</w:t>
      </w:r>
      <w:r w:rsidR="00C46112">
        <w:rPr>
          <w:rFonts w:ascii="Times New Roman" w:hAnsi="Times New Roman"/>
          <w:lang w:eastAsia="pl-PL"/>
        </w:rPr>
        <w:t xml:space="preserve"> Dokonuje on szeregu zmian w specustawie, nie tylko poszerzając i rozwijając niektóre występujące już w niej rozwiązania, ale także wprowadzając nowe mechanizmy.</w:t>
      </w:r>
    </w:p>
    <w:p w:rsidR="00E14105" w:rsidRPr="00691C98" w:rsidRDefault="00EB4420" w:rsidP="00EC324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Projektowane zmiany</w:t>
      </w:r>
    </w:p>
    <w:p w:rsidR="00473746" w:rsidRDefault="00473746"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pracy zdalnej funkcjonariuszy służb mundurowych:</w:t>
      </w:r>
    </w:p>
    <w:p w:rsidR="00473746" w:rsidRPr="00473746" w:rsidRDefault="00473746" w:rsidP="00473746">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Specustawa</w:t>
      </w:r>
      <w:r w:rsidRPr="00473746">
        <w:rPr>
          <w:rFonts w:ascii="Times New Roman" w:hAnsi="Times New Roman"/>
          <w:lang w:eastAsia="pl-PL"/>
        </w:rPr>
        <w:t xml:space="preserve"> w art. 3 wprowadziła zasadę, że w celu przeciwdziałania COVID-19 pracodawca może polecić pracownikowi wykonywa</w:t>
      </w:r>
      <w:r w:rsidR="000A197B">
        <w:rPr>
          <w:rFonts w:ascii="Times New Roman" w:hAnsi="Times New Roman"/>
          <w:lang w:eastAsia="pl-PL"/>
        </w:rPr>
        <w:t>nie</w:t>
      </w:r>
      <w:r>
        <w:rPr>
          <w:rFonts w:ascii="Times New Roman" w:hAnsi="Times New Roman"/>
          <w:lang w:eastAsia="pl-PL"/>
        </w:rPr>
        <w:t xml:space="preserve"> obowiązków wobec pracodawcy</w:t>
      </w:r>
      <w:r w:rsidRPr="00473746">
        <w:rPr>
          <w:rFonts w:ascii="Times New Roman" w:hAnsi="Times New Roman"/>
          <w:lang w:eastAsia="pl-PL"/>
        </w:rPr>
        <w:t xml:space="preserve"> w określonym czasie w domu, czyli w ramach tzw. pracy zdalnej. W związku z tym, </w:t>
      </w:r>
      <w:r>
        <w:rPr>
          <w:rFonts w:ascii="Times New Roman" w:hAnsi="Times New Roman"/>
          <w:lang w:eastAsia="pl-PL"/>
        </w:rPr>
        <w:t>że</w:t>
      </w:r>
      <w:r w:rsidRPr="00473746">
        <w:rPr>
          <w:rFonts w:ascii="Times New Roman" w:hAnsi="Times New Roman"/>
          <w:lang w:eastAsia="pl-PL"/>
        </w:rPr>
        <w:t xml:space="preserve"> funkcjonariusze Policji, Agencji Bezpieczeństwa Wewnętrznego, Agencji Wywiadu, Służby Kontrwywiadu Wojskowego, Służby </w:t>
      </w:r>
      <w:r w:rsidRPr="00473746">
        <w:rPr>
          <w:rFonts w:ascii="Times New Roman" w:hAnsi="Times New Roman"/>
          <w:lang w:eastAsia="pl-PL"/>
        </w:rPr>
        <w:lastRenderedPageBreak/>
        <w:t>Wywiadu Wojskowego, Centralnego Biura Antykorupcyjnego, Straży Granicznej, Służby Ochrony Państwa, Państwowej Straży Pożarnej, Służby Celno-Skarbowej i Służby Więzie</w:t>
      </w:r>
      <w:r>
        <w:rPr>
          <w:rFonts w:ascii="Times New Roman" w:hAnsi="Times New Roman"/>
          <w:lang w:eastAsia="pl-PL"/>
        </w:rPr>
        <w:t>nnej</w:t>
      </w:r>
      <w:r w:rsidRPr="00473746">
        <w:rPr>
          <w:rFonts w:ascii="Times New Roman" w:hAnsi="Times New Roman"/>
          <w:lang w:eastAsia="pl-PL"/>
        </w:rPr>
        <w:t xml:space="preserve"> nie są zatrudnieni na umowę o pracę, r</w:t>
      </w:r>
      <w:r>
        <w:rPr>
          <w:rFonts w:ascii="Times New Roman" w:hAnsi="Times New Roman"/>
          <w:lang w:eastAsia="pl-PL"/>
        </w:rPr>
        <w:t>egulacja ta ich nie obejmowała. W</w:t>
      </w:r>
      <w:r w:rsidRPr="00473746">
        <w:rPr>
          <w:rFonts w:ascii="Times New Roman" w:hAnsi="Times New Roman"/>
          <w:lang w:eastAsia="pl-PL"/>
        </w:rPr>
        <w:t xml:space="preserve"> celu wypełnienia zaistniałej luk</w:t>
      </w:r>
      <w:r>
        <w:rPr>
          <w:rFonts w:ascii="Times New Roman" w:hAnsi="Times New Roman"/>
          <w:lang w:eastAsia="pl-PL"/>
        </w:rPr>
        <w:t xml:space="preserve">i, proponuje się dodać przepis, zgodnie z którym </w:t>
      </w:r>
      <w:r w:rsidRPr="00473746">
        <w:rPr>
          <w:rFonts w:ascii="Times New Roman" w:hAnsi="Times New Roman"/>
          <w:lang w:eastAsia="pl-PL"/>
        </w:rPr>
        <w:t>możliwością wykonywania pracy</w:t>
      </w:r>
      <w:r>
        <w:rPr>
          <w:rFonts w:ascii="Times New Roman" w:hAnsi="Times New Roman"/>
          <w:lang w:eastAsia="pl-PL"/>
        </w:rPr>
        <w:t xml:space="preserve"> zdalnej</w:t>
      </w:r>
      <w:r w:rsidRPr="00473746">
        <w:rPr>
          <w:rFonts w:ascii="Times New Roman" w:hAnsi="Times New Roman"/>
          <w:lang w:eastAsia="pl-PL"/>
        </w:rPr>
        <w:t xml:space="preserve"> </w:t>
      </w:r>
      <w:r>
        <w:rPr>
          <w:rFonts w:ascii="Times New Roman" w:hAnsi="Times New Roman"/>
          <w:lang w:eastAsia="pl-PL"/>
        </w:rPr>
        <w:t xml:space="preserve">zostaną </w:t>
      </w:r>
      <w:r w:rsidRPr="00473746">
        <w:rPr>
          <w:rFonts w:ascii="Times New Roman" w:hAnsi="Times New Roman"/>
          <w:lang w:eastAsia="pl-PL"/>
        </w:rPr>
        <w:t>objęci ww. funkcjonariusze poszczególnych służb i organów.</w:t>
      </w:r>
    </w:p>
    <w:p w:rsidR="00632967" w:rsidRPr="00691C98" w:rsidRDefault="00632967"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dodatkowego zasiłku opiekuńczego</w:t>
      </w:r>
      <w:r w:rsidR="000E3451" w:rsidRPr="00691C98">
        <w:rPr>
          <w:rFonts w:ascii="Times New Roman" w:hAnsi="Times New Roman"/>
          <w:b/>
          <w:lang w:eastAsia="pl-PL"/>
        </w:rPr>
        <w:t>:</w:t>
      </w:r>
    </w:p>
    <w:p w:rsidR="00DE70F4" w:rsidRDefault="00DE70F4" w:rsidP="00DE70F4">
      <w:pPr>
        <w:suppressAutoHyphens/>
        <w:autoSpaceDE w:val="0"/>
        <w:autoSpaceDN w:val="0"/>
        <w:adjustRightInd w:val="0"/>
        <w:spacing w:after="120" w:line="360" w:lineRule="auto"/>
        <w:jc w:val="both"/>
        <w:rPr>
          <w:rFonts w:ascii="Times New Roman" w:hAnsi="Times New Roman"/>
          <w:lang w:eastAsia="pl-PL"/>
        </w:rPr>
      </w:pPr>
      <w:r w:rsidRPr="00DE70F4">
        <w:rPr>
          <w:rFonts w:ascii="Times New Roman" w:hAnsi="Times New Roman"/>
          <w:lang w:eastAsia="pl-PL"/>
        </w:rPr>
        <w:t>Projekt zakłada przyznanie kolejnego dodatkowego zasiłku opiekuńczego dla ubezpieczonego zwolnionego od wykonywania pracy z powodu konieczności osobistego sprawowania opieki nad dzieckie</w:t>
      </w:r>
      <w:r>
        <w:rPr>
          <w:rFonts w:ascii="Times New Roman" w:hAnsi="Times New Roman"/>
          <w:lang w:eastAsia="pl-PL"/>
        </w:rPr>
        <w:t xml:space="preserve">m w wieku do ukończenia 8 lat, </w:t>
      </w:r>
      <w:r w:rsidRPr="00DE70F4">
        <w:rPr>
          <w:rFonts w:ascii="Times New Roman" w:hAnsi="Times New Roman"/>
          <w:lang w:eastAsia="pl-PL"/>
        </w:rPr>
        <w:t>w wymiarze 14 dni. Do okresu kolejnych 14 dni nie wlicza się dotychczas wykorzystanego okresu do</w:t>
      </w:r>
      <w:r>
        <w:rPr>
          <w:rFonts w:ascii="Times New Roman" w:hAnsi="Times New Roman"/>
          <w:lang w:eastAsia="pl-PL"/>
        </w:rPr>
        <w:t>datkowego zasiłku opiekuńczego.</w:t>
      </w:r>
    </w:p>
    <w:p w:rsidR="00DE70F4" w:rsidRDefault="00DE70F4" w:rsidP="00DE70F4">
      <w:pPr>
        <w:suppressAutoHyphens/>
        <w:autoSpaceDE w:val="0"/>
        <w:autoSpaceDN w:val="0"/>
        <w:adjustRightInd w:val="0"/>
        <w:spacing w:after="120" w:line="360" w:lineRule="auto"/>
        <w:jc w:val="both"/>
        <w:rPr>
          <w:rFonts w:ascii="Times New Roman" w:hAnsi="Times New Roman"/>
          <w:lang w:eastAsia="pl-PL"/>
        </w:rPr>
      </w:pPr>
      <w:r w:rsidRPr="00DE70F4">
        <w:rPr>
          <w:rFonts w:ascii="Times New Roman" w:hAnsi="Times New Roman"/>
          <w:lang w:eastAsia="pl-PL"/>
        </w:rPr>
        <w:t>Ponadto zakłada się poszerzenie kręgu osób upra</w:t>
      </w:r>
      <w:r>
        <w:rPr>
          <w:rFonts w:ascii="Times New Roman" w:hAnsi="Times New Roman"/>
          <w:lang w:eastAsia="pl-PL"/>
        </w:rPr>
        <w:t>wnionych do dodatkowego zasiłku</w:t>
      </w:r>
      <w:r w:rsidRPr="00DE70F4">
        <w:rPr>
          <w:rFonts w:ascii="Times New Roman" w:hAnsi="Times New Roman"/>
          <w:lang w:eastAsia="pl-PL"/>
        </w:rPr>
        <w:t xml:space="preserve"> opiekuńczego. Zgodnie z propozycją zasiłek ten będzie przysługiwał w przypadku zamknięcia placówki, do której uczęszcza dziecko również ubezpieczonemu zwolnionemu od wykonywania pracy z powodu konieczności osobistego sprawowania opieki nad osobą legitymującą się orzeczeniem o znacznym lub umiarkowanym stopniu niepełnosprawności do ukończenia 18 lat albo orzeczeniem o</w:t>
      </w:r>
      <w:r>
        <w:rPr>
          <w:rFonts w:ascii="Times New Roman" w:hAnsi="Times New Roman"/>
          <w:lang w:eastAsia="pl-PL"/>
        </w:rPr>
        <w:t> niepełnosprawności.</w:t>
      </w:r>
    </w:p>
    <w:p w:rsidR="00914FD9" w:rsidRDefault="00914FD9" w:rsidP="00DE70F4">
      <w:pPr>
        <w:suppressAutoHyphens/>
        <w:autoSpaceDE w:val="0"/>
        <w:autoSpaceDN w:val="0"/>
        <w:adjustRightInd w:val="0"/>
        <w:spacing w:after="120" w:line="360" w:lineRule="auto"/>
        <w:jc w:val="both"/>
      </w:pPr>
      <w:r w:rsidRPr="00AD76F5">
        <w:rPr>
          <w:rFonts w:ascii="Times New Roman" w:hAnsi="Times New Roman"/>
          <w:lang w:eastAsia="pl-PL"/>
        </w:rPr>
        <w:t>Ponadto, w związku z zawieszeniem działalności placówek dziennego pobytu: warsztatów terapii zajęciowej, ośrodków dziennego pobytu, środowiskowych domów</w:t>
      </w:r>
      <w:r w:rsidRPr="00914FD9">
        <w:rPr>
          <w:rFonts w:ascii="Times New Roman" w:hAnsi="Times New Roman"/>
          <w:lang w:eastAsia="pl-PL"/>
        </w:rPr>
        <w:t xml:space="preserve"> samopomocy lub innych placówek (np. ośrodka rewalidacyjno-edukacyjno-wychowawczego)</w:t>
      </w:r>
      <w:r>
        <w:rPr>
          <w:rFonts w:ascii="Times New Roman" w:hAnsi="Times New Roman"/>
          <w:lang w:eastAsia="pl-PL"/>
        </w:rPr>
        <w:t>,</w:t>
      </w:r>
      <w:r w:rsidRPr="00914FD9">
        <w:rPr>
          <w:rFonts w:ascii="Times New Roman" w:hAnsi="Times New Roman"/>
          <w:lang w:eastAsia="pl-PL"/>
        </w:rPr>
        <w:t xml:space="preserve"> może pojawić się problem związany ze sprawowaniem opieki i niesieniem pomocy osobom niepełnosprawnym. Niektóre z nich są osob</w:t>
      </w:r>
      <w:r w:rsidR="00716C5C">
        <w:rPr>
          <w:rFonts w:ascii="Times New Roman" w:hAnsi="Times New Roman"/>
          <w:lang w:eastAsia="pl-PL"/>
        </w:rPr>
        <w:t>ami całkowicie niesamodzielnymi. B</w:t>
      </w:r>
      <w:r w:rsidRPr="00914FD9">
        <w:rPr>
          <w:rFonts w:ascii="Times New Roman" w:hAnsi="Times New Roman"/>
          <w:lang w:eastAsia="pl-PL"/>
        </w:rPr>
        <w:t xml:space="preserve">ez dodatkowej pomocy i wsparcia </w:t>
      </w:r>
      <w:r w:rsidR="00F831F0">
        <w:rPr>
          <w:rFonts w:ascii="Times New Roman" w:hAnsi="Times New Roman"/>
          <w:lang w:eastAsia="pl-PL"/>
        </w:rPr>
        <w:t xml:space="preserve">ze strony </w:t>
      </w:r>
      <w:r w:rsidRPr="00914FD9">
        <w:rPr>
          <w:rFonts w:ascii="Times New Roman" w:hAnsi="Times New Roman"/>
          <w:lang w:eastAsia="pl-PL"/>
        </w:rPr>
        <w:t>opiekuna nie są w stanie samodzielnie funkcjonować i wykonywać czynności życ</w:t>
      </w:r>
      <w:r w:rsidR="00F831F0">
        <w:rPr>
          <w:rFonts w:ascii="Times New Roman" w:hAnsi="Times New Roman"/>
          <w:lang w:eastAsia="pl-PL"/>
        </w:rPr>
        <w:t>ia codziennego. W związku z tym</w:t>
      </w:r>
      <w:r w:rsidRPr="00914FD9">
        <w:rPr>
          <w:rFonts w:ascii="Times New Roman" w:hAnsi="Times New Roman"/>
          <w:lang w:eastAsia="pl-PL"/>
        </w:rPr>
        <w:t xml:space="preserve"> niezbędne jest </w:t>
      </w:r>
      <w:r w:rsidR="00F831F0">
        <w:rPr>
          <w:rFonts w:ascii="Times New Roman" w:hAnsi="Times New Roman"/>
          <w:lang w:eastAsia="pl-PL"/>
        </w:rPr>
        <w:t>podjęcie działań legislacyjnych</w:t>
      </w:r>
      <w:r w:rsidRPr="00914FD9">
        <w:rPr>
          <w:rFonts w:ascii="Times New Roman" w:hAnsi="Times New Roman"/>
          <w:lang w:eastAsia="pl-PL"/>
        </w:rPr>
        <w:t xml:space="preserve"> dotyczących umożliwienia sprawowania opieki przez osoby ubezpieczone (np. pracujące). </w:t>
      </w:r>
      <w:r w:rsidR="00716C5C">
        <w:rPr>
          <w:rFonts w:ascii="Times New Roman" w:hAnsi="Times New Roman"/>
          <w:lang w:eastAsia="pl-PL"/>
        </w:rPr>
        <w:t>W takim przypadku z</w:t>
      </w:r>
      <w:r w:rsidRPr="00914FD9">
        <w:rPr>
          <w:rFonts w:ascii="Times New Roman" w:hAnsi="Times New Roman"/>
          <w:lang w:eastAsia="pl-PL"/>
        </w:rPr>
        <w:t xml:space="preserve">akłada się odpowiednie stosowanie przepisów dotyczących zasiłku opiekuńczego przysługującego na opiekę nad chorym dorosłym członkiem rodziny. </w:t>
      </w:r>
      <w:r w:rsidR="00EB6356">
        <w:rPr>
          <w:rFonts w:ascii="Times New Roman" w:hAnsi="Times New Roman"/>
          <w:lang w:eastAsia="pl-PL"/>
        </w:rPr>
        <w:t>M</w:t>
      </w:r>
      <w:r w:rsidRPr="00914FD9">
        <w:rPr>
          <w:rFonts w:ascii="Times New Roman" w:hAnsi="Times New Roman"/>
          <w:lang w:eastAsia="pl-PL"/>
        </w:rPr>
        <w:t>aksymalny okres przysłu</w:t>
      </w:r>
      <w:r w:rsidR="00716C5C">
        <w:rPr>
          <w:rFonts w:ascii="Times New Roman" w:hAnsi="Times New Roman"/>
          <w:lang w:eastAsia="pl-PL"/>
        </w:rPr>
        <w:t xml:space="preserve">giwania zasiłku wynosi 14 dni; okres ten </w:t>
      </w:r>
      <w:r w:rsidRPr="00914FD9">
        <w:rPr>
          <w:rFonts w:ascii="Times New Roman" w:hAnsi="Times New Roman"/>
          <w:lang w:eastAsia="pl-PL"/>
        </w:rPr>
        <w:t>nie może być łączony z</w:t>
      </w:r>
      <w:r w:rsidR="00716C5C">
        <w:rPr>
          <w:rFonts w:ascii="Times New Roman" w:hAnsi="Times New Roman"/>
          <w:lang w:eastAsia="pl-PL"/>
        </w:rPr>
        <w:t> </w:t>
      </w:r>
      <w:r w:rsidRPr="00914FD9">
        <w:rPr>
          <w:rFonts w:ascii="Times New Roman" w:hAnsi="Times New Roman"/>
          <w:lang w:eastAsia="pl-PL"/>
        </w:rPr>
        <w:t>okresem pobierania innych zasiłków związanych ze sprawowaniem opieki nad innym członkiem rodziny.</w:t>
      </w:r>
    </w:p>
    <w:p w:rsidR="00AD76F5" w:rsidRPr="00AD76F5" w:rsidRDefault="00AD76F5" w:rsidP="00AD76F5">
      <w:pPr>
        <w:autoSpaceDE w:val="0"/>
        <w:autoSpaceDN w:val="0"/>
        <w:adjustRightInd w:val="0"/>
        <w:spacing w:after="120" w:line="360" w:lineRule="auto"/>
        <w:jc w:val="both"/>
        <w:rPr>
          <w:rFonts w:ascii="Times New Roman" w:hAnsi="Times New Roman"/>
          <w:szCs w:val="24"/>
        </w:rPr>
      </w:pPr>
      <w:r>
        <w:rPr>
          <w:rFonts w:ascii="Times New Roman" w:hAnsi="Times New Roman"/>
          <w:szCs w:val="24"/>
        </w:rPr>
        <w:t>Dodatkowo zasiłek opiekuńczy p</w:t>
      </w:r>
      <w:r w:rsidRPr="00AD76F5">
        <w:rPr>
          <w:rFonts w:ascii="Times New Roman" w:hAnsi="Times New Roman"/>
          <w:szCs w:val="24"/>
        </w:rPr>
        <w:t xml:space="preserve">rzysługiwać będzie w przypadku niemożności sprawowania opieki przez nianię lub dziennego opiekuna. </w:t>
      </w:r>
      <w:r w:rsidR="00F831F0">
        <w:rPr>
          <w:rFonts w:ascii="Times New Roman" w:hAnsi="Times New Roman"/>
          <w:szCs w:val="24"/>
        </w:rPr>
        <w:t>Osoby te</w:t>
      </w:r>
      <w:r w:rsidRPr="00AD76F5">
        <w:rPr>
          <w:rFonts w:ascii="Times New Roman" w:hAnsi="Times New Roman"/>
          <w:szCs w:val="24"/>
        </w:rPr>
        <w:t xml:space="preserve"> zgodnie z ustawą</w:t>
      </w:r>
      <w:r>
        <w:rPr>
          <w:rFonts w:ascii="Times New Roman" w:hAnsi="Times New Roman"/>
          <w:szCs w:val="24"/>
        </w:rPr>
        <w:t xml:space="preserve"> </w:t>
      </w:r>
      <w:r w:rsidRPr="00AD76F5">
        <w:rPr>
          <w:rFonts w:ascii="Times New Roman" w:hAnsi="Times New Roman"/>
          <w:szCs w:val="24"/>
        </w:rPr>
        <w:t>o opiece nad dziećmi w wieku do lat 3 sprawują</w:t>
      </w:r>
      <w:r w:rsidR="00F831F0">
        <w:rPr>
          <w:rFonts w:ascii="Times New Roman" w:hAnsi="Times New Roman"/>
          <w:szCs w:val="24"/>
        </w:rPr>
        <w:t>,</w:t>
      </w:r>
      <w:r w:rsidRPr="00AD76F5">
        <w:rPr>
          <w:rFonts w:ascii="Times New Roman" w:hAnsi="Times New Roman"/>
          <w:szCs w:val="24"/>
        </w:rPr>
        <w:t xml:space="preserve"> obok żłobka i klubu dziecięcego</w:t>
      </w:r>
      <w:r w:rsidR="00F831F0">
        <w:rPr>
          <w:rFonts w:ascii="Times New Roman" w:hAnsi="Times New Roman"/>
          <w:szCs w:val="24"/>
        </w:rPr>
        <w:t>,</w:t>
      </w:r>
      <w:r w:rsidRPr="00AD76F5">
        <w:rPr>
          <w:rFonts w:ascii="Times New Roman" w:hAnsi="Times New Roman"/>
          <w:szCs w:val="24"/>
        </w:rPr>
        <w:t xml:space="preserve"> opiekę nad najmłodszymi dziećmi</w:t>
      </w:r>
      <w:r>
        <w:rPr>
          <w:rFonts w:ascii="Times New Roman" w:hAnsi="Times New Roman"/>
          <w:szCs w:val="24"/>
        </w:rPr>
        <w:t>. Zasadne jest więc,</w:t>
      </w:r>
      <w:r w:rsidRPr="00AD76F5">
        <w:rPr>
          <w:rFonts w:ascii="Times New Roman" w:hAnsi="Times New Roman"/>
          <w:szCs w:val="24"/>
        </w:rPr>
        <w:t xml:space="preserve"> aby w sytuacji braku możliwości sprawowania </w:t>
      </w:r>
      <w:r>
        <w:rPr>
          <w:rFonts w:ascii="Times New Roman" w:hAnsi="Times New Roman"/>
          <w:szCs w:val="24"/>
        </w:rPr>
        <w:t xml:space="preserve">przez nie </w:t>
      </w:r>
      <w:r w:rsidRPr="00AD76F5">
        <w:rPr>
          <w:rFonts w:ascii="Times New Roman" w:hAnsi="Times New Roman"/>
          <w:szCs w:val="24"/>
        </w:rPr>
        <w:t>opieki rodzicom p</w:t>
      </w:r>
      <w:r>
        <w:rPr>
          <w:rFonts w:ascii="Times New Roman" w:hAnsi="Times New Roman"/>
          <w:szCs w:val="24"/>
        </w:rPr>
        <w:t>rzysługiwał zasiłek opiekuńczy.</w:t>
      </w:r>
    </w:p>
    <w:p w:rsidR="00632967" w:rsidRPr="00691C98" w:rsidRDefault="00914FD9" w:rsidP="00914FD9">
      <w:pPr>
        <w:suppressAutoHyphens/>
        <w:autoSpaceDE w:val="0"/>
        <w:autoSpaceDN w:val="0"/>
        <w:adjustRightInd w:val="0"/>
        <w:spacing w:after="120" w:line="360" w:lineRule="auto"/>
        <w:jc w:val="both"/>
        <w:rPr>
          <w:rFonts w:ascii="Times New Roman" w:hAnsi="Times New Roman"/>
          <w:b/>
          <w:lang w:eastAsia="pl-PL"/>
        </w:rPr>
      </w:pPr>
      <w:r w:rsidRPr="00914FD9">
        <w:rPr>
          <w:rFonts w:ascii="Times New Roman" w:hAnsi="Times New Roman"/>
          <w:lang w:eastAsia="pl-PL"/>
        </w:rPr>
        <w:t>Ponadto proponuje się wprowadzić przepis</w:t>
      </w:r>
      <w:r>
        <w:rPr>
          <w:rFonts w:ascii="Times New Roman" w:hAnsi="Times New Roman"/>
          <w:lang w:eastAsia="pl-PL"/>
        </w:rPr>
        <w:t>,</w:t>
      </w:r>
      <w:r w:rsidRPr="00914FD9">
        <w:rPr>
          <w:rFonts w:ascii="Times New Roman" w:hAnsi="Times New Roman"/>
          <w:lang w:eastAsia="pl-PL"/>
        </w:rPr>
        <w:t xml:space="preserve"> na mocy którego Rada Ministrów w formie rozporządzenia będzie mogła wydłużyć okres 14 dni pobierania dodatkowego zasiłku opiekuńczego. </w:t>
      </w:r>
      <w:r w:rsidRPr="00914FD9">
        <w:rPr>
          <w:rFonts w:ascii="Times New Roman" w:hAnsi="Times New Roman"/>
          <w:lang w:eastAsia="pl-PL"/>
        </w:rPr>
        <w:lastRenderedPageBreak/>
        <w:t>Przewidziany obecnie okres</w:t>
      </w:r>
      <w:r w:rsidR="00F831F0">
        <w:rPr>
          <w:rFonts w:ascii="Times New Roman" w:hAnsi="Times New Roman"/>
          <w:lang w:eastAsia="pl-PL"/>
        </w:rPr>
        <w:t xml:space="preserve"> </w:t>
      </w:r>
      <w:r w:rsidRPr="00914FD9">
        <w:rPr>
          <w:rFonts w:ascii="Times New Roman" w:hAnsi="Times New Roman"/>
          <w:lang w:eastAsia="pl-PL"/>
        </w:rPr>
        <w:t xml:space="preserve">może okazać się niewystarczający, dlatego też proponuje się </w:t>
      </w:r>
      <w:r w:rsidR="00716C5C">
        <w:rPr>
          <w:rFonts w:ascii="Times New Roman" w:hAnsi="Times New Roman"/>
          <w:lang w:eastAsia="pl-PL"/>
        </w:rPr>
        <w:t>dokonać uelastycznienia</w:t>
      </w:r>
      <w:r w:rsidRPr="00914FD9">
        <w:rPr>
          <w:rFonts w:ascii="Times New Roman" w:hAnsi="Times New Roman"/>
          <w:lang w:eastAsia="pl-PL"/>
        </w:rPr>
        <w:t xml:space="preserve"> mechanizmu wydłużenia okresu pobierania zasiłku opiekuńczego, który pozost</w:t>
      </w:r>
      <w:r>
        <w:rPr>
          <w:rFonts w:ascii="Times New Roman" w:hAnsi="Times New Roman"/>
          <w:lang w:eastAsia="pl-PL"/>
        </w:rPr>
        <w:t>awałby w gestii Rady Ministrów.</w:t>
      </w:r>
      <w:r w:rsidRPr="00914FD9">
        <w:rPr>
          <w:rFonts w:ascii="Times New Roman" w:hAnsi="Times New Roman"/>
          <w:lang w:eastAsia="pl-PL"/>
        </w:rPr>
        <w:t xml:space="preserve"> Z zaproponowanego rozwiąz</w:t>
      </w:r>
      <w:r w:rsidR="00716C5C">
        <w:rPr>
          <w:rFonts w:ascii="Times New Roman" w:hAnsi="Times New Roman"/>
          <w:lang w:eastAsia="pl-PL"/>
        </w:rPr>
        <w:t>ania będzie można skorzystać,</w:t>
      </w:r>
      <w:r w:rsidR="00F84ADD">
        <w:rPr>
          <w:rFonts w:ascii="Times New Roman" w:hAnsi="Times New Roman"/>
          <w:lang w:eastAsia="pl-PL"/>
        </w:rPr>
        <w:t xml:space="preserve"> w </w:t>
      </w:r>
      <w:r w:rsidRPr="00914FD9">
        <w:rPr>
          <w:rFonts w:ascii="Times New Roman" w:hAnsi="Times New Roman"/>
          <w:lang w:eastAsia="pl-PL"/>
        </w:rPr>
        <w:t xml:space="preserve">przypadku gdy żłobki, kluby dziecięce, przedszkola, szkoły, placówki pobytu dziennego </w:t>
      </w:r>
      <w:r w:rsidR="00A9177A">
        <w:rPr>
          <w:rFonts w:ascii="Times New Roman" w:hAnsi="Times New Roman"/>
          <w:lang w:eastAsia="pl-PL"/>
        </w:rPr>
        <w:t xml:space="preserve">lub inne placówki będą </w:t>
      </w:r>
      <w:r w:rsidR="00D44AD7">
        <w:rPr>
          <w:rFonts w:ascii="Times New Roman" w:hAnsi="Times New Roman"/>
          <w:lang w:eastAsia="pl-PL"/>
        </w:rPr>
        <w:t>zamknięte</w:t>
      </w:r>
      <w:r w:rsidR="00A9177A">
        <w:rPr>
          <w:rFonts w:ascii="Times New Roman" w:hAnsi="Times New Roman"/>
          <w:lang w:eastAsia="pl-PL"/>
        </w:rPr>
        <w:t xml:space="preserve"> oraz w przypadku niemożności sprawowania opieki przez nianie lub dziennych opiekunów,</w:t>
      </w:r>
      <w:r w:rsidRPr="00914FD9">
        <w:rPr>
          <w:rFonts w:ascii="Times New Roman" w:hAnsi="Times New Roman"/>
          <w:lang w:eastAsia="pl-PL"/>
        </w:rPr>
        <w:t xml:space="preserve"> w tym na okres dłuższy niż 14 dni, i skala tego zjawiska będzie znaczna.</w:t>
      </w:r>
    </w:p>
    <w:p w:rsidR="00F94E72" w:rsidRPr="0007327E" w:rsidRDefault="00F94E72"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07327E">
        <w:rPr>
          <w:rFonts w:ascii="Times New Roman" w:hAnsi="Times New Roman"/>
          <w:b/>
          <w:lang w:eastAsia="pl-PL"/>
        </w:rPr>
        <w:t xml:space="preserve">Zmiany w zakresie </w:t>
      </w:r>
      <w:r w:rsidR="0007327E" w:rsidRPr="0007327E">
        <w:rPr>
          <w:rFonts w:ascii="Times New Roman" w:hAnsi="Times New Roman"/>
          <w:b/>
          <w:bCs/>
        </w:rPr>
        <w:t>wyłączenia Banku Gospodarstwa Krajowego z obowiązku stosowania prawa zamówień publicznych przy wdrażaniu instrumentów finansowych mających na celu niwelowanie skutków pandemii COVID-19 na działalność przedsiębiorstw</w:t>
      </w:r>
      <w:r w:rsidRPr="0007327E">
        <w:rPr>
          <w:rFonts w:ascii="Times New Roman" w:hAnsi="Times New Roman"/>
          <w:b/>
          <w:lang w:eastAsia="pl-PL"/>
        </w:rPr>
        <w:t>:</w:t>
      </w:r>
    </w:p>
    <w:p w:rsidR="0007327E" w:rsidRPr="0007327E" w:rsidRDefault="0007327E" w:rsidP="0007327E">
      <w:pPr>
        <w:spacing w:after="120" w:line="360" w:lineRule="auto"/>
        <w:jc w:val="both"/>
        <w:rPr>
          <w:rFonts w:ascii="Times New Roman" w:hAnsi="Times New Roman"/>
        </w:rPr>
      </w:pPr>
      <w:r w:rsidRPr="0007327E">
        <w:rPr>
          <w:rFonts w:ascii="Times New Roman" w:hAnsi="Times New Roman"/>
        </w:rPr>
        <w:t>Bank Gospodarstwa Krajowego</w:t>
      </w:r>
      <w:r>
        <w:rPr>
          <w:rFonts w:ascii="Times New Roman" w:hAnsi="Times New Roman"/>
        </w:rPr>
        <w:t xml:space="preserve"> (BGK)</w:t>
      </w:r>
      <w:r w:rsidRPr="0007327E">
        <w:rPr>
          <w:rFonts w:ascii="Times New Roman" w:hAnsi="Times New Roman"/>
        </w:rPr>
        <w:t xml:space="preserve"> jest </w:t>
      </w:r>
      <w:r w:rsidR="00D44AD7">
        <w:rPr>
          <w:rFonts w:ascii="Times New Roman" w:hAnsi="Times New Roman"/>
        </w:rPr>
        <w:t>b</w:t>
      </w:r>
      <w:r w:rsidRPr="0007327E">
        <w:rPr>
          <w:rFonts w:ascii="Times New Roman" w:hAnsi="Times New Roman"/>
        </w:rPr>
        <w:t xml:space="preserve">ankiem </w:t>
      </w:r>
      <w:r w:rsidR="00D44AD7">
        <w:rPr>
          <w:rFonts w:ascii="Times New Roman" w:hAnsi="Times New Roman"/>
        </w:rPr>
        <w:t>p</w:t>
      </w:r>
      <w:r w:rsidRPr="0007327E">
        <w:rPr>
          <w:rFonts w:ascii="Times New Roman" w:hAnsi="Times New Roman"/>
        </w:rPr>
        <w:t>aństwowym</w:t>
      </w:r>
      <w:r>
        <w:rPr>
          <w:rFonts w:ascii="Times New Roman" w:hAnsi="Times New Roman"/>
        </w:rPr>
        <w:t>,</w:t>
      </w:r>
      <w:r w:rsidRPr="0007327E">
        <w:rPr>
          <w:rFonts w:ascii="Times New Roman" w:hAnsi="Times New Roman"/>
        </w:rPr>
        <w:t xml:space="preserve"> o którym mowa w </w:t>
      </w:r>
      <w:r>
        <w:rPr>
          <w:rFonts w:ascii="Times New Roman" w:hAnsi="Times New Roman"/>
        </w:rPr>
        <w:t xml:space="preserve">ustawie - </w:t>
      </w:r>
      <w:r w:rsidRPr="0007327E">
        <w:rPr>
          <w:rFonts w:ascii="Times New Roman" w:hAnsi="Times New Roman"/>
        </w:rPr>
        <w:t>Prawo bankowe, będącym w 100% własnością Skarbu Państwa.</w:t>
      </w:r>
    </w:p>
    <w:p w:rsidR="0007327E" w:rsidRPr="0007327E" w:rsidRDefault="0007327E" w:rsidP="00D44AD7">
      <w:pPr>
        <w:spacing w:after="0" w:line="360" w:lineRule="auto"/>
        <w:jc w:val="both"/>
        <w:rPr>
          <w:rFonts w:ascii="Times New Roman" w:hAnsi="Times New Roman"/>
        </w:rPr>
      </w:pPr>
      <w:r w:rsidRPr="0007327E">
        <w:rPr>
          <w:rFonts w:ascii="Times New Roman" w:hAnsi="Times New Roman"/>
        </w:rPr>
        <w:t>Zgodnie z art. 4 ustawy</w:t>
      </w:r>
      <w:r>
        <w:rPr>
          <w:rFonts w:ascii="Times New Roman" w:hAnsi="Times New Roman"/>
        </w:rPr>
        <w:t xml:space="preserve"> </w:t>
      </w:r>
      <w:r w:rsidRPr="0007327E">
        <w:rPr>
          <w:rFonts w:ascii="Times New Roman" w:hAnsi="Times New Roman"/>
        </w:rPr>
        <w:t>o Banku Gospodarstwa Krajowego</w:t>
      </w:r>
      <w:r>
        <w:rPr>
          <w:rFonts w:ascii="Times New Roman" w:hAnsi="Times New Roman"/>
        </w:rPr>
        <w:t xml:space="preserve"> </w:t>
      </w:r>
      <w:r w:rsidRPr="0007327E">
        <w:rPr>
          <w:rFonts w:ascii="Times New Roman" w:hAnsi="Times New Roman"/>
        </w:rPr>
        <w:t>do pods</w:t>
      </w:r>
      <w:r w:rsidR="00D44AD7">
        <w:rPr>
          <w:rFonts w:ascii="Times New Roman" w:hAnsi="Times New Roman"/>
        </w:rPr>
        <w:t>tawowych celów działalności BGK –</w:t>
      </w:r>
      <w:r w:rsidRPr="0007327E">
        <w:rPr>
          <w:rFonts w:ascii="Times New Roman" w:hAnsi="Times New Roman"/>
        </w:rPr>
        <w:t xml:space="preserve"> w zakresie określonym u</w:t>
      </w:r>
      <w:r w:rsidR="00D44AD7">
        <w:rPr>
          <w:rFonts w:ascii="Times New Roman" w:hAnsi="Times New Roman"/>
        </w:rPr>
        <w:t>stawą oraz odrębnymi przepisami –</w:t>
      </w:r>
      <w:r w:rsidRPr="0007327E">
        <w:rPr>
          <w:rFonts w:ascii="Times New Roman" w:hAnsi="Times New Roman"/>
        </w:rPr>
        <w:t xml:space="preserve"> należy wspieranie polityki gospodarczej Rady Ministrów, rządowych programów społeczno-gospodarczych oraz programów samorządności lokalnej i rozwoju regionalnego, obejmuj</w:t>
      </w:r>
      <w:r>
        <w:rPr>
          <w:rFonts w:ascii="Times New Roman" w:hAnsi="Times New Roman"/>
        </w:rPr>
        <w:t>ących w szczególności projekty:</w:t>
      </w:r>
    </w:p>
    <w:p w:rsidR="0007327E" w:rsidRPr="0007327E" w:rsidRDefault="0007327E" w:rsidP="00EC324B">
      <w:pPr>
        <w:pStyle w:val="Akapitzlist"/>
        <w:numPr>
          <w:ilvl w:val="0"/>
          <w:numId w:val="11"/>
        </w:numPr>
        <w:suppressAutoHyphens/>
        <w:autoSpaceDN w:val="0"/>
        <w:spacing w:after="0" w:line="360" w:lineRule="auto"/>
        <w:jc w:val="both"/>
        <w:textAlignment w:val="baseline"/>
        <w:rPr>
          <w:rFonts w:ascii="Times New Roman" w:eastAsia="Times New Roman" w:hAnsi="Times New Roman"/>
          <w:lang w:eastAsia="pl-PL"/>
        </w:rPr>
      </w:pPr>
      <w:r w:rsidRPr="0007327E">
        <w:rPr>
          <w:rFonts w:ascii="Times New Roman" w:eastAsia="Times New Roman" w:hAnsi="Times New Roman"/>
          <w:lang w:eastAsia="pl-PL"/>
        </w:rPr>
        <w:t xml:space="preserve">realizowane z wykorzystaniem środków pochodzących z funduszy Unii Europejskiej oraz międzynarodowych instytucji finansowych w rozumieniu art. 4 ust. 1 pkt 3 ustawy </w:t>
      </w:r>
      <w:r>
        <w:rPr>
          <w:rFonts w:ascii="Times New Roman" w:eastAsia="Times New Roman" w:hAnsi="Times New Roman"/>
          <w:lang w:eastAsia="pl-PL"/>
        </w:rPr>
        <w:t>– Prawo bankowe,</w:t>
      </w:r>
    </w:p>
    <w:p w:rsidR="0007327E" w:rsidRPr="0007327E" w:rsidRDefault="0007327E" w:rsidP="00EC324B">
      <w:pPr>
        <w:pStyle w:val="Akapitzlist"/>
        <w:numPr>
          <w:ilvl w:val="0"/>
          <w:numId w:val="11"/>
        </w:numPr>
        <w:suppressAutoHyphens/>
        <w:autoSpaceDN w:val="0"/>
        <w:spacing w:after="0" w:line="360" w:lineRule="auto"/>
        <w:jc w:val="both"/>
        <w:textAlignment w:val="baseline"/>
        <w:rPr>
          <w:rFonts w:ascii="Times New Roman" w:eastAsia="Times New Roman" w:hAnsi="Times New Roman"/>
          <w:lang w:eastAsia="pl-PL"/>
        </w:rPr>
      </w:pPr>
      <w:r>
        <w:rPr>
          <w:rFonts w:ascii="Times New Roman" w:eastAsia="Times New Roman" w:hAnsi="Times New Roman"/>
          <w:lang w:eastAsia="pl-PL"/>
        </w:rPr>
        <w:t>infrastrukturalne,</w:t>
      </w:r>
    </w:p>
    <w:p w:rsidR="0007327E" w:rsidRPr="0007327E" w:rsidRDefault="0007327E" w:rsidP="00EC324B">
      <w:pPr>
        <w:pStyle w:val="Akapitzlist"/>
        <w:numPr>
          <w:ilvl w:val="0"/>
          <w:numId w:val="11"/>
        </w:numPr>
        <w:suppressAutoHyphens/>
        <w:autoSpaceDN w:val="0"/>
        <w:spacing w:after="0" w:line="360" w:lineRule="auto"/>
        <w:jc w:val="both"/>
        <w:textAlignment w:val="baseline"/>
        <w:rPr>
          <w:rFonts w:ascii="Times New Roman" w:eastAsia="Times New Roman" w:hAnsi="Times New Roman"/>
          <w:lang w:eastAsia="pl-PL"/>
        </w:rPr>
      </w:pPr>
      <w:r w:rsidRPr="0007327E">
        <w:rPr>
          <w:rFonts w:ascii="Times New Roman" w:eastAsia="Times New Roman" w:hAnsi="Times New Roman"/>
          <w:lang w:eastAsia="pl-PL"/>
        </w:rPr>
        <w:t>związane z rozwojem sektora ma</w:t>
      </w:r>
      <w:r>
        <w:rPr>
          <w:rFonts w:ascii="Times New Roman" w:eastAsia="Times New Roman" w:hAnsi="Times New Roman"/>
          <w:lang w:eastAsia="pl-PL"/>
        </w:rPr>
        <w:t>łych i średnich przedsiębiorstw</w:t>
      </w:r>
      <w:r w:rsidR="00D44AD7">
        <w:rPr>
          <w:rFonts w:ascii="Times New Roman" w:eastAsia="Times New Roman" w:hAnsi="Times New Roman"/>
          <w:lang w:eastAsia="pl-PL"/>
        </w:rPr>
        <w:t>,</w:t>
      </w:r>
    </w:p>
    <w:p w:rsidR="0007327E" w:rsidRPr="0007327E" w:rsidRDefault="0007327E" w:rsidP="00D44AD7">
      <w:pPr>
        <w:spacing w:after="120" w:line="360" w:lineRule="auto"/>
        <w:jc w:val="both"/>
        <w:rPr>
          <w:rFonts w:ascii="Times New Roman" w:hAnsi="Times New Roman"/>
        </w:rPr>
      </w:pPr>
      <w:r w:rsidRPr="0007327E">
        <w:rPr>
          <w:rFonts w:ascii="Times New Roman" w:hAnsi="Times New Roman"/>
        </w:rPr>
        <w:t>w tym realizowane z wykorzystaniem środków publicznych.</w:t>
      </w:r>
    </w:p>
    <w:p w:rsidR="0007327E" w:rsidRPr="0007327E" w:rsidRDefault="0007327E" w:rsidP="0007327E">
      <w:pPr>
        <w:pStyle w:val="Akapitzlist"/>
        <w:spacing w:after="120" w:line="360" w:lineRule="auto"/>
        <w:ind w:left="0"/>
        <w:jc w:val="both"/>
        <w:rPr>
          <w:rFonts w:ascii="Times New Roman" w:eastAsia="Times New Roman" w:hAnsi="Times New Roman"/>
          <w:lang w:eastAsia="pl-PL"/>
        </w:rPr>
      </w:pPr>
      <w:r w:rsidRPr="0007327E">
        <w:rPr>
          <w:rFonts w:ascii="Times New Roman" w:eastAsia="Times New Roman" w:hAnsi="Times New Roman"/>
          <w:lang w:eastAsia="pl-PL"/>
        </w:rPr>
        <w:t xml:space="preserve">Działalność </w:t>
      </w:r>
      <w:r>
        <w:rPr>
          <w:rFonts w:ascii="Times New Roman" w:eastAsia="Times New Roman" w:hAnsi="Times New Roman"/>
          <w:lang w:eastAsia="pl-PL"/>
        </w:rPr>
        <w:t>BGK</w:t>
      </w:r>
      <w:r w:rsidRPr="0007327E">
        <w:rPr>
          <w:rFonts w:ascii="Times New Roman" w:eastAsia="Times New Roman" w:hAnsi="Times New Roman"/>
          <w:lang w:eastAsia="pl-PL"/>
        </w:rPr>
        <w:t xml:space="preserve"> prowadzona jest w ramach mandatu publicznego powierzonego mu n</w:t>
      </w:r>
      <w:r>
        <w:rPr>
          <w:rFonts w:ascii="Times New Roman" w:eastAsia="Times New Roman" w:hAnsi="Times New Roman"/>
          <w:lang w:eastAsia="pl-PL"/>
        </w:rPr>
        <w:t>a mocy prawa, w tym ustawy</w:t>
      </w:r>
      <w:r w:rsidRPr="0007327E">
        <w:rPr>
          <w:rFonts w:ascii="Times New Roman" w:eastAsia="Times New Roman" w:hAnsi="Times New Roman"/>
          <w:lang w:eastAsia="pl-PL"/>
        </w:rPr>
        <w:t xml:space="preserve"> </w:t>
      </w:r>
      <w:r w:rsidRPr="0007327E">
        <w:rPr>
          <w:rFonts w:ascii="Times New Roman" w:hAnsi="Times New Roman"/>
        </w:rPr>
        <w:t>o Banku Gospodarstwa Krajowego</w:t>
      </w:r>
      <w:r w:rsidRPr="0007327E">
        <w:rPr>
          <w:rFonts w:ascii="Times New Roman" w:eastAsia="Times New Roman" w:hAnsi="Times New Roman"/>
          <w:lang w:eastAsia="pl-PL"/>
        </w:rPr>
        <w:t xml:space="preserve">, </w:t>
      </w:r>
      <w:r w:rsidR="00D44AD7">
        <w:rPr>
          <w:rFonts w:ascii="Times New Roman" w:eastAsia="Times New Roman" w:hAnsi="Times New Roman"/>
          <w:lang w:eastAsia="pl-PL"/>
        </w:rPr>
        <w:t>s</w:t>
      </w:r>
      <w:r w:rsidRPr="0007327E">
        <w:rPr>
          <w:rFonts w:ascii="Times New Roman" w:eastAsia="Times New Roman" w:hAnsi="Times New Roman"/>
          <w:lang w:eastAsia="pl-PL"/>
        </w:rPr>
        <w:t>tatutu, a także ustawy o zasadach realizacji programów w zakresie polityki spójności finansowanych</w:t>
      </w:r>
      <w:r w:rsidR="00D44AD7">
        <w:rPr>
          <w:rFonts w:ascii="Times New Roman" w:eastAsia="Times New Roman" w:hAnsi="Times New Roman"/>
          <w:lang w:eastAsia="pl-PL"/>
        </w:rPr>
        <w:t xml:space="preserve"> w perspektywie finansowej 2014-</w:t>
      </w:r>
      <w:r w:rsidR="00426D4F">
        <w:rPr>
          <w:rFonts w:ascii="Times New Roman" w:eastAsia="Times New Roman" w:hAnsi="Times New Roman"/>
          <w:lang w:eastAsia="pl-PL"/>
        </w:rPr>
        <w:t>2020. W </w:t>
      </w:r>
      <w:r w:rsidRPr="0007327E">
        <w:rPr>
          <w:rFonts w:ascii="Times New Roman" w:eastAsia="Times New Roman" w:hAnsi="Times New Roman"/>
          <w:lang w:eastAsia="pl-PL"/>
        </w:rPr>
        <w:t xml:space="preserve">projektowanym art. 28a ust. 2 tej ustawy wskazano na BGK jako podmiot, któremu powierza </w:t>
      </w:r>
      <w:r>
        <w:rPr>
          <w:rFonts w:ascii="Times New Roman" w:eastAsia="Times New Roman" w:hAnsi="Times New Roman"/>
          <w:lang w:eastAsia="pl-PL"/>
        </w:rPr>
        <w:t xml:space="preserve">się </w:t>
      </w:r>
      <w:r w:rsidRPr="0007327E">
        <w:rPr>
          <w:rFonts w:ascii="Times New Roman" w:eastAsia="Times New Roman" w:hAnsi="Times New Roman"/>
          <w:lang w:eastAsia="pl-PL"/>
        </w:rPr>
        <w:t>funkcję wdrażania instrumentu finansowego lub funduszu funduszy.</w:t>
      </w:r>
    </w:p>
    <w:p w:rsidR="0007327E" w:rsidRPr="0007327E" w:rsidRDefault="00490F89" w:rsidP="0007327E">
      <w:pPr>
        <w:spacing w:after="120" w:line="360" w:lineRule="auto"/>
        <w:jc w:val="both"/>
        <w:rPr>
          <w:rFonts w:ascii="Times New Roman" w:hAnsi="Times New Roman"/>
        </w:rPr>
      </w:pPr>
      <w:r>
        <w:rPr>
          <w:rFonts w:ascii="Times New Roman" w:hAnsi="Times New Roman"/>
        </w:rPr>
        <w:t>Od czasu</w:t>
      </w:r>
      <w:r w:rsidR="0007327E" w:rsidRPr="0007327E">
        <w:rPr>
          <w:rFonts w:ascii="Times New Roman" w:hAnsi="Times New Roman"/>
        </w:rPr>
        <w:t xml:space="preserve"> kiedy środki z funduszy strukturalnych UE wykorzystywane </w:t>
      </w:r>
      <w:r>
        <w:rPr>
          <w:rFonts w:ascii="Times New Roman" w:hAnsi="Times New Roman"/>
        </w:rPr>
        <w:t xml:space="preserve">są </w:t>
      </w:r>
      <w:r w:rsidR="0007327E" w:rsidRPr="0007327E">
        <w:rPr>
          <w:rFonts w:ascii="Times New Roman" w:hAnsi="Times New Roman"/>
        </w:rPr>
        <w:t xml:space="preserve">również w ramach instrumentów finansowych, </w:t>
      </w:r>
      <w:r w:rsidR="0007327E">
        <w:rPr>
          <w:rFonts w:ascii="Times New Roman" w:hAnsi="Times New Roman"/>
        </w:rPr>
        <w:t>BGK</w:t>
      </w:r>
      <w:r w:rsidR="0007327E" w:rsidRPr="0007327E">
        <w:rPr>
          <w:rFonts w:ascii="Times New Roman" w:hAnsi="Times New Roman"/>
        </w:rPr>
        <w:t xml:space="preserve"> jest głównym podmiotem odpowiedzialnym za ich wdrażanie zarówno na poziomie krajowym, jak i regionalnym. W perspektywie finansowej 2014-2020 w ramach krajowych i regionalnych programów operacyjnych Bankowi Gospodarstwa Krajowego powierzono wdrażanie instrumentów finansowych o wartości </w:t>
      </w:r>
      <w:r w:rsidR="0007327E" w:rsidRPr="0007327E">
        <w:rPr>
          <w:rFonts w:ascii="Times New Roman" w:hAnsi="Times New Roman"/>
          <w:bCs/>
        </w:rPr>
        <w:t>ponad 12 mld zł,</w:t>
      </w:r>
      <w:r w:rsidR="0007327E" w:rsidRPr="0007327E">
        <w:rPr>
          <w:rFonts w:ascii="Times New Roman" w:hAnsi="Times New Roman"/>
        </w:rPr>
        <w:t xml:space="preserve"> z czego ponad połowa </w:t>
      </w:r>
      <w:r w:rsidR="0007327E">
        <w:rPr>
          <w:rFonts w:ascii="Times New Roman" w:hAnsi="Times New Roman"/>
        </w:rPr>
        <w:t>instrumentów dotyczy wsparcia MŚ</w:t>
      </w:r>
      <w:r w:rsidR="0007327E" w:rsidRPr="0007327E">
        <w:rPr>
          <w:rFonts w:ascii="Times New Roman" w:hAnsi="Times New Roman"/>
        </w:rPr>
        <w:t>P (pozostałe o</w:t>
      </w:r>
      <w:r w:rsidR="0007327E">
        <w:rPr>
          <w:rFonts w:ascii="Times New Roman" w:hAnsi="Times New Roman"/>
        </w:rPr>
        <w:t xml:space="preserve">bszary to m.in. innowacyjność, </w:t>
      </w:r>
      <w:r>
        <w:rPr>
          <w:rFonts w:ascii="Times New Roman" w:hAnsi="Times New Roman"/>
        </w:rPr>
        <w:t>I</w:t>
      </w:r>
      <w:r w:rsidR="0007327E" w:rsidRPr="0007327E">
        <w:rPr>
          <w:rFonts w:ascii="Times New Roman" w:hAnsi="Times New Roman"/>
        </w:rPr>
        <w:t xml:space="preserve">nternet szerokopasmowy, efektywność energetyczna, rynek pracy itp.). Również w okresie 2007-2013 BGK był głównym podmiotem odpowiedzialnym za wdrażanie instrumentów finansowych w programach </w:t>
      </w:r>
      <w:r w:rsidR="0007327E" w:rsidRPr="0007327E">
        <w:rPr>
          <w:rFonts w:ascii="Times New Roman" w:hAnsi="Times New Roman"/>
        </w:rPr>
        <w:lastRenderedPageBreak/>
        <w:t xml:space="preserve">regionalnych i krajowych. Należy </w:t>
      </w:r>
      <w:r w:rsidR="0007327E">
        <w:rPr>
          <w:rFonts w:ascii="Times New Roman" w:hAnsi="Times New Roman"/>
        </w:rPr>
        <w:t>ponadto</w:t>
      </w:r>
      <w:r w:rsidR="0007327E" w:rsidRPr="0007327E">
        <w:rPr>
          <w:rFonts w:ascii="Times New Roman" w:hAnsi="Times New Roman"/>
        </w:rPr>
        <w:t xml:space="preserve"> wskazać, że wśród podmiotów zaangażowanych we wdrażanie instrumentów finansow</w:t>
      </w:r>
      <w:r>
        <w:rPr>
          <w:rFonts w:ascii="Times New Roman" w:hAnsi="Times New Roman"/>
        </w:rPr>
        <w:t>anych z funduszy strukturalnych</w:t>
      </w:r>
      <w:r w:rsidR="0007327E" w:rsidRPr="0007327E">
        <w:rPr>
          <w:rFonts w:ascii="Times New Roman" w:hAnsi="Times New Roman"/>
        </w:rPr>
        <w:t xml:space="preserve"> BGK ma zdecydowanie największe doświadczenie, ponieważ jako jedyny z krajowych podmiotów uczestniczy we wdrażaniu wszystkic</w:t>
      </w:r>
      <w:r w:rsidR="0007327E">
        <w:rPr>
          <w:rFonts w:ascii="Times New Roman" w:hAnsi="Times New Roman"/>
        </w:rPr>
        <w:t>h typów instrumentów (pożyczkowych, gwarancyjnych, kapitałowych</w:t>
      </w:r>
      <w:r w:rsidR="0007327E" w:rsidRPr="0007327E">
        <w:rPr>
          <w:rFonts w:ascii="Times New Roman" w:hAnsi="Times New Roman"/>
        </w:rPr>
        <w:t>).</w:t>
      </w:r>
    </w:p>
    <w:p w:rsidR="0007327E" w:rsidRPr="0007327E" w:rsidRDefault="0007327E" w:rsidP="0007327E">
      <w:pPr>
        <w:spacing w:after="120" w:line="360" w:lineRule="auto"/>
        <w:jc w:val="both"/>
        <w:rPr>
          <w:rFonts w:ascii="Times New Roman" w:hAnsi="Times New Roman"/>
        </w:rPr>
      </w:pPr>
      <w:r>
        <w:rPr>
          <w:rFonts w:ascii="Times New Roman" w:hAnsi="Times New Roman"/>
        </w:rPr>
        <w:t>BGK</w:t>
      </w:r>
      <w:r w:rsidRPr="0007327E">
        <w:rPr>
          <w:rFonts w:ascii="Times New Roman" w:hAnsi="Times New Roman"/>
        </w:rPr>
        <w:t xml:space="preserve"> posiada zatem nie tylko odpowiednie umocowanie ustawowe, ale również ogromne doświadczenie we wdrażaniu instrumentów finansowych, w szczególności o charakterze dłużnym (pożyczki, gwarancje, poręczenia). Większość z wdrażanych przez BGK instrumentów realizowana jest z wykorzystaniem struktury funduszu (którym zarządza BGK) i pośredników finansowych (np. funduszy pożyczkowych) wybieranych przez BGK – co do zasady – w drodze zamówień publicznych. Wybór pośredników w tej formie jest czasochłonny i skutkuje znaczną sztywnością zawieranych umów, dlatego w sytuacji, w której konieczne jest pilne uruchomienie nowych instrumentów, które będą mogły być elastycznie dostosowywane do zmian w sytuacji rynkowej (np. przedłużający się kryzys, zmiana jego skali, dotknięcie skutkami kryzysu szczególnych grup przedsiębiorców itd.) lub dostosowanie do takiej sytuacji już istniejących instrumentów poprzez wprowadzenie zmian w</w:t>
      </w:r>
      <w:r w:rsidR="00E74242">
        <w:rPr>
          <w:rFonts w:ascii="Times New Roman" w:hAnsi="Times New Roman"/>
        </w:rPr>
        <w:t> </w:t>
      </w:r>
      <w:r w:rsidRPr="0007327E">
        <w:rPr>
          <w:rFonts w:ascii="Times New Roman" w:hAnsi="Times New Roman"/>
        </w:rPr>
        <w:t xml:space="preserve">realizowanych już umowach, należy umożliwić stosowanie innych procedur niż </w:t>
      </w:r>
      <w:r>
        <w:rPr>
          <w:rFonts w:ascii="Times New Roman" w:hAnsi="Times New Roman"/>
        </w:rPr>
        <w:t xml:space="preserve">tych wynikających z </w:t>
      </w:r>
      <w:r w:rsidRPr="0007327E">
        <w:rPr>
          <w:rFonts w:ascii="Times New Roman" w:hAnsi="Times New Roman"/>
        </w:rPr>
        <w:t>ustawy - Prawo zamówień publicznych. W</w:t>
      </w:r>
      <w:r w:rsidR="00AB5B40">
        <w:rPr>
          <w:rFonts w:ascii="Times New Roman" w:hAnsi="Times New Roman"/>
        </w:rPr>
        <w:t> </w:t>
      </w:r>
      <w:r w:rsidRPr="0007327E">
        <w:rPr>
          <w:rFonts w:ascii="Times New Roman" w:hAnsi="Times New Roman"/>
        </w:rPr>
        <w:t>przypadku wyboru nowych pośredników finansowych, których zadaniem będzie wspieranie M</w:t>
      </w:r>
      <w:r w:rsidR="00AB5B40">
        <w:rPr>
          <w:rFonts w:ascii="Times New Roman" w:hAnsi="Times New Roman"/>
        </w:rPr>
        <w:t>Ś</w:t>
      </w:r>
      <w:r w:rsidRPr="0007327E">
        <w:rPr>
          <w:rFonts w:ascii="Times New Roman" w:hAnsi="Times New Roman"/>
        </w:rPr>
        <w:t>P dotkniętych skutkami pandemii</w:t>
      </w:r>
      <w:r w:rsidR="00AB5B40">
        <w:rPr>
          <w:rFonts w:ascii="Times New Roman" w:hAnsi="Times New Roman"/>
        </w:rPr>
        <w:t>,</w:t>
      </w:r>
      <w:r w:rsidRPr="0007327E">
        <w:rPr>
          <w:rFonts w:ascii="Times New Roman" w:hAnsi="Times New Roman"/>
        </w:rPr>
        <w:t xml:space="preserve"> będą to otwarte, transparentne, przejrzyste, niedyskryminujące i</w:t>
      </w:r>
      <w:r w:rsidR="00AB5B40">
        <w:rPr>
          <w:rFonts w:ascii="Times New Roman" w:hAnsi="Times New Roman"/>
        </w:rPr>
        <w:t> </w:t>
      </w:r>
      <w:r w:rsidRPr="0007327E">
        <w:rPr>
          <w:rFonts w:ascii="Times New Roman" w:hAnsi="Times New Roman"/>
        </w:rPr>
        <w:t xml:space="preserve">nieprowadzące do powstania konfliktu interesów procedury konkursowe, w stosowaniu których BGK ma szerokie doświadczenie </w:t>
      </w:r>
      <w:r w:rsidR="00490F89" w:rsidRPr="00490F89">
        <w:rPr>
          <w:rFonts w:ascii="Times New Roman" w:hAnsi="Times New Roman"/>
        </w:rPr>
        <w:t>wynikające z ich stosowania przy wyborze pośredników finansowych w perspektywie 2007-2013</w:t>
      </w:r>
      <w:r>
        <w:rPr>
          <w:rFonts w:ascii="Times New Roman" w:hAnsi="Times New Roman"/>
        </w:rPr>
        <w:t>.</w:t>
      </w:r>
    </w:p>
    <w:p w:rsidR="0007327E" w:rsidRPr="00E435D0" w:rsidRDefault="00AB5B40" w:rsidP="00E435D0">
      <w:pPr>
        <w:spacing w:after="120" w:line="360" w:lineRule="auto"/>
        <w:jc w:val="both"/>
        <w:rPr>
          <w:rFonts w:ascii="Times New Roman" w:hAnsi="Times New Roman"/>
        </w:rPr>
      </w:pPr>
      <w:r>
        <w:rPr>
          <w:rFonts w:ascii="Times New Roman" w:hAnsi="Times New Roman"/>
        </w:rPr>
        <w:t>W</w:t>
      </w:r>
      <w:r w:rsidRPr="0007327E">
        <w:rPr>
          <w:rFonts w:ascii="Times New Roman" w:hAnsi="Times New Roman"/>
        </w:rPr>
        <w:t xml:space="preserve"> najbliższych miesiącach </w:t>
      </w:r>
      <w:r>
        <w:rPr>
          <w:rFonts w:ascii="Times New Roman" w:hAnsi="Times New Roman"/>
        </w:rPr>
        <w:t>wielu przedsiębiorców</w:t>
      </w:r>
      <w:r w:rsidR="0007327E" w:rsidRPr="0007327E">
        <w:rPr>
          <w:rFonts w:ascii="Times New Roman" w:hAnsi="Times New Roman"/>
        </w:rPr>
        <w:t xml:space="preserve"> znajdzie się w trudnej sytuacji i niezbędne jest pilne uruchomienie instrumentów, które zapewnią im finansowanie płynnościowe pozwalające przetrwać najtrudniejszy okres. Zaistniała sytuacja wymaga zatem stosowania procedur, które w</w:t>
      </w:r>
      <w:r>
        <w:rPr>
          <w:rFonts w:ascii="Times New Roman" w:hAnsi="Times New Roman"/>
        </w:rPr>
        <w:t> </w:t>
      </w:r>
      <w:r w:rsidR="0007327E" w:rsidRPr="0007327E">
        <w:rPr>
          <w:rFonts w:ascii="Times New Roman" w:hAnsi="Times New Roman"/>
        </w:rPr>
        <w:t xml:space="preserve">najszybszy możliwy sposób zapewnią wsparcie </w:t>
      </w:r>
      <w:r>
        <w:rPr>
          <w:rFonts w:ascii="Times New Roman" w:hAnsi="Times New Roman"/>
        </w:rPr>
        <w:t>przedsiębiorców</w:t>
      </w:r>
      <w:r w:rsidR="0007327E" w:rsidRPr="0007327E">
        <w:rPr>
          <w:rFonts w:ascii="Times New Roman" w:hAnsi="Times New Roman"/>
        </w:rPr>
        <w:t>, w szczególności M</w:t>
      </w:r>
      <w:r>
        <w:rPr>
          <w:rFonts w:ascii="Times New Roman" w:hAnsi="Times New Roman"/>
        </w:rPr>
        <w:t>Ś</w:t>
      </w:r>
      <w:r w:rsidR="0007327E" w:rsidRPr="0007327E">
        <w:rPr>
          <w:rFonts w:ascii="Times New Roman" w:hAnsi="Times New Roman"/>
        </w:rPr>
        <w:t>P.</w:t>
      </w:r>
    </w:p>
    <w:p w:rsidR="002909F9" w:rsidRDefault="002909F9"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zakresie finansowania skutków COVID-19 z funduszu zapasowego </w:t>
      </w:r>
      <w:r w:rsidRPr="002909F9">
        <w:rPr>
          <w:rFonts w:ascii="Times New Roman" w:hAnsi="Times New Roman"/>
          <w:b/>
          <w:lang w:eastAsia="pl-PL"/>
        </w:rPr>
        <w:t>Narodowego Funduszu Zdrowia</w:t>
      </w:r>
      <w:r>
        <w:rPr>
          <w:rFonts w:ascii="Times New Roman" w:hAnsi="Times New Roman"/>
          <w:b/>
          <w:lang w:eastAsia="pl-PL"/>
        </w:rPr>
        <w:t>:</w:t>
      </w:r>
    </w:p>
    <w:p w:rsidR="002909F9" w:rsidRDefault="002909F9" w:rsidP="002909F9">
      <w:pPr>
        <w:suppressAutoHyphens/>
        <w:autoSpaceDE w:val="0"/>
        <w:autoSpaceDN w:val="0"/>
        <w:adjustRightInd w:val="0"/>
        <w:spacing w:after="120" w:line="360" w:lineRule="auto"/>
        <w:jc w:val="both"/>
        <w:rPr>
          <w:rFonts w:ascii="Times New Roman" w:hAnsi="Times New Roman"/>
          <w:lang w:eastAsia="pl-PL"/>
        </w:rPr>
      </w:pPr>
      <w:r w:rsidRPr="002909F9">
        <w:rPr>
          <w:rFonts w:ascii="Times New Roman" w:hAnsi="Times New Roman"/>
          <w:lang w:eastAsia="pl-PL"/>
        </w:rPr>
        <w:t>Przepis</w:t>
      </w:r>
      <w:r>
        <w:rPr>
          <w:rFonts w:ascii="Times New Roman" w:hAnsi="Times New Roman"/>
          <w:lang w:eastAsia="pl-PL"/>
        </w:rPr>
        <w:t>y</w:t>
      </w:r>
      <w:r w:rsidRPr="002909F9">
        <w:rPr>
          <w:rFonts w:ascii="Times New Roman" w:hAnsi="Times New Roman"/>
          <w:lang w:eastAsia="pl-PL"/>
        </w:rPr>
        <w:t xml:space="preserve"> ma</w:t>
      </w:r>
      <w:r>
        <w:rPr>
          <w:rFonts w:ascii="Times New Roman" w:hAnsi="Times New Roman"/>
          <w:lang w:eastAsia="pl-PL"/>
        </w:rPr>
        <w:t>ją</w:t>
      </w:r>
      <w:r w:rsidRPr="002909F9">
        <w:rPr>
          <w:rFonts w:ascii="Times New Roman" w:hAnsi="Times New Roman"/>
          <w:lang w:eastAsia="pl-PL"/>
        </w:rPr>
        <w:t xml:space="preserve"> na celu umożliwienie finansowania skutków przeciwdziałania COVID-19 nie tylko ze środków budżetowych, ale także ze środków funduszu zapasowego </w:t>
      </w:r>
      <w:r>
        <w:rPr>
          <w:rFonts w:ascii="Times New Roman" w:hAnsi="Times New Roman"/>
          <w:lang w:eastAsia="pl-PL"/>
        </w:rPr>
        <w:t>Narodowego Funduszu Zdrowia</w:t>
      </w:r>
      <w:r w:rsidRPr="002909F9">
        <w:rPr>
          <w:rFonts w:ascii="Times New Roman" w:hAnsi="Times New Roman"/>
          <w:lang w:eastAsia="pl-PL"/>
        </w:rPr>
        <w:t>, nie pochodzących z budżetu państwa, jak i środków pochodzących z nowoutworzonego państwowego funduszu celowego. Zaproponowano zatem nowe brzmienie obowiązującego art. 9, zgodnie z którym świadczenia opieki zdrowotnej, w tym transportu sani</w:t>
      </w:r>
      <w:r>
        <w:rPr>
          <w:rFonts w:ascii="Times New Roman" w:hAnsi="Times New Roman"/>
          <w:lang w:eastAsia="pl-PL"/>
        </w:rPr>
        <w:t>tarnego, wykonywane w związku z </w:t>
      </w:r>
      <w:r w:rsidRPr="002909F9">
        <w:rPr>
          <w:rFonts w:ascii="Times New Roman" w:hAnsi="Times New Roman"/>
          <w:lang w:eastAsia="pl-PL"/>
        </w:rPr>
        <w:t>przeciwdziałaniem COVID-19, udzielone przez podmioty wykonujące działalność leczniczą wpisane do wykazu, będą finansowane przez Narodowy Fundusz Zdrowia ze środków funduszu zapasowego, Fund</w:t>
      </w:r>
      <w:r>
        <w:rPr>
          <w:rFonts w:ascii="Times New Roman" w:hAnsi="Times New Roman"/>
          <w:lang w:eastAsia="pl-PL"/>
        </w:rPr>
        <w:t xml:space="preserve">uszu Przeciwdziałania COVID-19 </w:t>
      </w:r>
      <w:r w:rsidRPr="002909F9">
        <w:rPr>
          <w:rFonts w:ascii="Times New Roman" w:hAnsi="Times New Roman"/>
          <w:lang w:eastAsia="pl-PL"/>
        </w:rPr>
        <w:t xml:space="preserve">oraz ze środków z budżetu państwa z części, której dysponentem jest minister właściwy do spraw zdrowia, na podstawie sprawozdań i rachunków </w:t>
      </w:r>
      <w:r w:rsidRPr="002909F9">
        <w:rPr>
          <w:rFonts w:ascii="Times New Roman" w:hAnsi="Times New Roman"/>
          <w:lang w:eastAsia="pl-PL"/>
        </w:rPr>
        <w:lastRenderedPageBreak/>
        <w:t>składanych do właściwego miejscowo dyrektora oddziału wojewódzkiego Narodowego Funduszu Zdrowia. Zgodnie z ust. 5 minister właściwy do spraw zdrowia określi, w drodze rozporządzenia, sposób i tryb finansowania z funduszu zapasowego oraz z budżetu państwa świadczeń opieki zdrowotnej, o których mowa w ust. 1, mając na celu zapewnienie rzetelności i gospodarności wydatkowania środków publicznych oraz skuteczności udzielania świadczeń opieki zdrowotnej.</w:t>
      </w:r>
    </w:p>
    <w:p w:rsidR="0058308F" w:rsidRPr="0058308F" w:rsidRDefault="0058308F" w:rsidP="002909F9">
      <w:p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lang w:eastAsia="pl-PL"/>
        </w:rPr>
        <w:t>Wprowadzenie zaproponowanego przepisu przejściowego umożliwi od strony formalno-prawnej sfinansowanie w ramach tej ustawy o szczególnych rozwiązaniach związanych z zapobieganiem, przeciwdziałaniem i zwalczaniem COVID-19, innych chorób zakaźnych oraz wywołanych nimi sytuacji kryzysowych kosztów poniesionych przez 4 Wojskowy Szpital Kliniczny z Polikliniką SP ZOZ we Wrocławiu (WSzKzP) przed wejściem w życie tej ustawy (art. 37 – wejście w życie z dniem następującym po dniu ogłoszenia, tj. z dniem 8 marca 2020 r.). 4 WSzKzP we Wrocławiu, w związku z hospitalizacją (kwarantanną) 30 obywateli RP ewakuowanych z Wuhan, w okresie od 02.02. do 19.02.2020 r. poniósł koszty na poziomie 308,00 tys. złotych (dokładnie oszacowano na kwotę: 307.425,58 zł).</w:t>
      </w:r>
    </w:p>
    <w:p w:rsidR="00333338" w:rsidRDefault="0033333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spalania odpadów:</w:t>
      </w:r>
    </w:p>
    <w:p w:rsidR="00333338" w:rsidRPr="00333338" w:rsidRDefault="00333338" w:rsidP="00333338">
      <w:pPr>
        <w:suppressAutoHyphens/>
        <w:autoSpaceDE w:val="0"/>
        <w:autoSpaceDN w:val="0"/>
        <w:adjustRightInd w:val="0"/>
        <w:spacing w:after="120" w:line="360" w:lineRule="auto"/>
        <w:jc w:val="both"/>
        <w:rPr>
          <w:rFonts w:ascii="Times New Roman" w:hAnsi="Times New Roman"/>
          <w:lang w:eastAsia="pl-PL"/>
        </w:rPr>
      </w:pPr>
      <w:r w:rsidRPr="00333338">
        <w:rPr>
          <w:rFonts w:ascii="Times New Roman" w:hAnsi="Times New Roman"/>
          <w:lang w:eastAsia="pl-PL"/>
        </w:rPr>
        <w:t xml:space="preserve">W </w:t>
      </w:r>
      <w:r>
        <w:rPr>
          <w:rFonts w:ascii="Times New Roman" w:hAnsi="Times New Roman"/>
          <w:lang w:eastAsia="pl-PL"/>
        </w:rPr>
        <w:t>specustawie</w:t>
      </w:r>
      <w:r w:rsidRPr="00333338">
        <w:rPr>
          <w:rFonts w:ascii="Times New Roman" w:hAnsi="Times New Roman"/>
          <w:lang w:eastAsia="pl-PL"/>
        </w:rPr>
        <w:t xml:space="preserve"> wprowadzono przepis mający umożliwić unieszk</w:t>
      </w:r>
      <w:r>
        <w:rPr>
          <w:rFonts w:ascii="Times New Roman" w:hAnsi="Times New Roman"/>
          <w:lang w:eastAsia="pl-PL"/>
        </w:rPr>
        <w:t>odliwienie odpadów medycznych o </w:t>
      </w:r>
      <w:r w:rsidRPr="00333338">
        <w:rPr>
          <w:rFonts w:ascii="Times New Roman" w:hAnsi="Times New Roman"/>
          <w:lang w:eastAsia="pl-PL"/>
        </w:rPr>
        <w:t xml:space="preserve">właściwościach zakaźnych powstających w zawiązku z zagrożeniem epidemicznym w instalacjach nieposiadających stosownych decyzji administracyjnych, na wypadek braku możliwości przetworzenia tych odpadów w uprawnionych instalacjach (spalarnie odpadów niebezpiecznych). Zmiany umożliwiają w szczególnych przypadkach gospodarowania odpadami, w tym  transport, przez podmioty, dla których nie zostały wydane decyzje administracyjne lub nie uzyskały wpisu do rejestru w przedmiotowym zakresie. W razie potrzeby propozycja przepisów dopuszcza możliwość zastosowanie powyższego rozwiązania również w odniesieniu </w:t>
      </w:r>
      <w:r>
        <w:rPr>
          <w:rFonts w:ascii="Times New Roman" w:hAnsi="Times New Roman"/>
          <w:lang w:eastAsia="pl-PL"/>
        </w:rPr>
        <w:t>do innych niż odpady medyczne o </w:t>
      </w:r>
      <w:r w:rsidRPr="00333338">
        <w:rPr>
          <w:rFonts w:ascii="Times New Roman" w:hAnsi="Times New Roman"/>
          <w:lang w:eastAsia="pl-PL"/>
        </w:rPr>
        <w:t>właściwościach zakaźnych a powstających w związku z przeciwdziałaniem COVID-19</w:t>
      </w:r>
      <w:r>
        <w:rPr>
          <w:rFonts w:ascii="Times New Roman" w:hAnsi="Times New Roman"/>
          <w:lang w:eastAsia="pl-PL"/>
        </w:rPr>
        <w:t>. W </w:t>
      </w:r>
      <w:r w:rsidRPr="00333338">
        <w:rPr>
          <w:rFonts w:ascii="Times New Roman" w:hAnsi="Times New Roman"/>
          <w:lang w:eastAsia="pl-PL"/>
        </w:rPr>
        <w:t xml:space="preserve">przypadku odpadów komunalnych dodatkowo wojewoda będzie mógł wydać polecenie składowania i spalania odpadów bez jakichkolwiek lub określonych wstępnych procesów przetwarzania, które są </w:t>
      </w:r>
      <w:r>
        <w:rPr>
          <w:rFonts w:ascii="Times New Roman" w:hAnsi="Times New Roman"/>
          <w:lang w:eastAsia="pl-PL"/>
        </w:rPr>
        <w:t>wymagane przed tymi procesami (</w:t>
      </w:r>
      <w:r w:rsidRPr="00333338">
        <w:rPr>
          <w:rFonts w:ascii="Times New Roman" w:hAnsi="Times New Roman"/>
          <w:lang w:eastAsia="pl-PL"/>
        </w:rPr>
        <w:t>jak wysegregowanie odpadów do odzysku, w tym recyklingu czy zmniejszenie masy odpadów przed składowaniem). Wojewoda będzie mógł także   zmienić zasady selektywnego zbierania odpadów, tj. zmniejszyć liczbę frakcji w zależności od potrzeb (np. do 3 albo wszystkie jako niesegregowane (zmieszane) odpady komunalne).</w:t>
      </w:r>
    </w:p>
    <w:p w:rsidR="00A90EC3" w:rsidRDefault="00A90EC3"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uprawnień Policji:</w:t>
      </w:r>
    </w:p>
    <w:p w:rsidR="00A90EC3" w:rsidRPr="00A90EC3" w:rsidRDefault="00333338" w:rsidP="00A90EC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Proponuje się</w:t>
      </w:r>
      <w:r w:rsidR="00A90EC3" w:rsidRPr="00A90EC3">
        <w:rPr>
          <w:rFonts w:ascii="Times New Roman" w:hAnsi="Times New Roman"/>
          <w:lang w:eastAsia="pl-PL"/>
        </w:rPr>
        <w:t xml:space="preserve"> dodać </w:t>
      </w:r>
      <w:r w:rsidR="00A90EC3" w:rsidRPr="00333338">
        <w:rPr>
          <w:rFonts w:ascii="Times New Roman" w:hAnsi="Times New Roman"/>
          <w:lang w:eastAsia="pl-PL"/>
        </w:rPr>
        <w:t>art. 11</w:t>
      </w:r>
      <w:r w:rsidRPr="00333338">
        <w:rPr>
          <w:rFonts w:ascii="Times New Roman" w:hAnsi="Times New Roman"/>
          <w:lang w:eastAsia="pl-PL"/>
        </w:rPr>
        <w:t>d</w:t>
      </w:r>
      <w:r w:rsidR="00A90EC3" w:rsidRPr="00333338">
        <w:rPr>
          <w:rFonts w:ascii="Times New Roman" w:hAnsi="Times New Roman"/>
          <w:lang w:eastAsia="pl-PL"/>
        </w:rPr>
        <w:t>,</w:t>
      </w:r>
      <w:r w:rsidR="00A90EC3" w:rsidRPr="00A90EC3">
        <w:rPr>
          <w:rFonts w:ascii="Times New Roman" w:hAnsi="Times New Roman"/>
          <w:lang w:eastAsia="pl-PL"/>
        </w:rPr>
        <w:t xml:space="preserve"> który będzie dawał możliwość wykonywan</w:t>
      </w:r>
      <w:r w:rsidR="00E74242">
        <w:rPr>
          <w:rFonts w:ascii="Times New Roman" w:hAnsi="Times New Roman"/>
          <w:lang w:eastAsia="pl-PL"/>
        </w:rPr>
        <w:t>ia ustawowych uprawnień Policji</w:t>
      </w:r>
      <w:r w:rsidR="00A90EC3" w:rsidRPr="00A90EC3">
        <w:rPr>
          <w:rFonts w:ascii="Times New Roman" w:hAnsi="Times New Roman"/>
          <w:lang w:eastAsia="pl-PL"/>
        </w:rPr>
        <w:t xml:space="preserve"> także w stosunku do osób, o których mowa </w:t>
      </w:r>
      <w:r w:rsidR="00A90EC3">
        <w:rPr>
          <w:rFonts w:ascii="Times New Roman" w:hAnsi="Times New Roman"/>
          <w:lang w:eastAsia="pl-PL"/>
        </w:rPr>
        <w:t xml:space="preserve">w ust. 2 ustawy </w:t>
      </w:r>
      <w:r w:rsidR="00A90EC3" w:rsidRPr="00A90EC3">
        <w:rPr>
          <w:rFonts w:ascii="Times New Roman" w:hAnsi="Times New Roman"/>
          <w:lang w:eastAsia="pl-PL"/>
        </w:rPr>
        <w:t>o zapobieganiu oraz zwalczaniu zakażeń i chorób zakaźnych u ludzi</w:t>
      </w:r>
      <w:r w:rsidR="00A90EC3">
        <w:rPr>
          <w:rFonts w:ascii="Times New Roman" w:hAnsi="Times New Roman"/>
          <w:lang w:eastAsia="pl-PL"/>
        </w:rPr>
        <w:t>.</w:t>
      </w:r>
      <w:r w:rsidR="00A90EC3" w:rsidRPr="00A90EC3">
        <w:rPr>
          <w:rFonts w:ascii="Times New Roman" w:hAnsi="Times New Roman"/>
          <w:lang w:eastAsia="pl-PL"/>
        </w:rPr>
        <w:t xml:space="preserve"> Chodzi o osoby zdrowe, które pozostawały w styczności z osobami chorymi na choroby zakaźne, i które podlegają obowiązkowej kwarantannie lub nadzorowi </w:t>
      </w:r>
      <w:r w:rsidR="00A90EC3" w:rsidRPr="00A90EC3">
        <w:rPr>
          <w:rFonts w:ascii="Times New Roman" w:hAnsi="Times New Roman"/>
          <w:lang w:eastAsia="pl-PL"/>
        </w:rPr>
        <w:lastRenderedPageBreak/>
        <w:t>epidemiologicznemu. Uprawnienia policjantów nie będą obejmowały czynności, o których mowa w art. 19</w:t>
      </w:r>
      <w:r w:rsidR="00E74242">
        <w:rPr>
          <w:rFonts w:ascii="Times New Roman" w:hAnsi="Times New Roman"/>
          <w:lang w:eastAsia="pl-PL"/>
        </w:rPr>
        <w:t>-</w:t>
      </w:r>
      <w:r w:rsidR="00A90EC3" w:rsidRPr="00A90EC3">
        <w:rPr>
          <w:rFonts w:ascii="Times New Roman" w:hAnsi="Times New Roman"/>
          <w:lang w:eastAsia="pl-PL"/>
        </w:rPr>
        <w:t>19b ustawy o Policji</w:t>
      </w:r>
      <w:r w:rsidR="00A90EC3">
        <w:rPr>
          <w:rFonts w:ascii="Times New Roman" w:hAnsi="Times New Roman"/>
          <w:lang w:eastAsia="pl-PL"/>
        </w:rPr>
        <w:t xml:space="preserve">, </w:t>
      </w:r>
      <w:r w:rsidR="00A90EC3" w:rsidRPr="00A90EC3">
        <w:rPr>
          <w:rFonts w:ascii="Times New Roman" w:hAnsi="Times New Roman"/>
          <w:lang w:eastAsia="pl-PL"/>
        </w:rPr>
        <w:t>tj. kontroli w sytuacjach szczególnych, czynności operacyjno-rozpozna</w:t>
      </w:r>
      <w:r w:rsidR="00A90EC3">
        <w:rPr>
          <w:rFonts w:ascii="Times New Roman" w:hAnsi="Times New Roman"/>
          <w:lang w:eastAsia="pl-PL"/>
        </w:rPr>
        <w:t>wczych oraz niejawnego nadzoru.</w:t>
      </w:r>
    </w:p>
    <w:p w:rsidR="00A90EC3" w:rsidRPr="00A90EC3" w:rsidRDefault="00A90EC3" w:rsidP="00A90EC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Jednocześnie przewidziano obowiązek</w:t>
      </w:r>
      <w:r w:rsidR="00E74242" w:rsidRPr="00E74242">
        <w:rPr>
          <w:rFonts w:ascii="Times New Roman" w:hAnsi="Times New Roman"/>
          <w:lang w:eastAsia="pl-PL"/>
        </w:rPr>
        <w:t xml:space="preserve"> </w:t>
      </w:r>
      <w:r w:rsidR="00E74242">
        <w:rPr>
          <w:rFonts w:ascii="Times New Roman" w:hAnsi="Times New Roman"/>
          <w:lang w:eastAsia="pl-PL"/>
        </w:rPr>
        <w:t>usunięcia</w:t>
      </w:r>
      <w:r w:rsidR="00E74242" w:rsidRPr="00E74242">
        <w:rPr>
          <w:rFonts w:ascii="Times New Roman" w:hAnsi="Times New Roman"/>
          <w:lang w:eastAsia="pl-PL"/>
        </w:rPr>
        <w:t xml:space="preserve"> lub zniszcz</w:t>
      </w:r>
      <w:r w:rsidR="00E74242">
        <w:rPr>
          <w:rFonts w:ascii="Times New Roman" w:hAnsi="Times New Roman"/>
          <w:lang w:eastAsia="pl-PL"/>
        </w:rPr>
        <w:t>enia wszystkich</w:t>
      </w:r>
      <w:r>
        <w:rPr>
          <w:rFonts w:ascii="Times New Roman" w:hAnsi="Times New Roman"/>
          <w:lang w:eastAsia="pl-PL"/>
        </w:rPr>
        <w:t xml:space="preserve"> </w:t>
      </w:r>
      <w:r w:rsidR="00E74242">
        <w:rPr>
          <w:rFonts w:ascii="Times New Roman" w:hAnsi="Times New Roman"/>
          <w:lang w:eastAsia="pl-PL"/>
        </w:rPr>
        <w:t>informacji, w tym danych osobowych, uzyskanych</w:t>
      </w:r>
      <w:r w:rsidRPr="00A90EC3">
        <w:rPr>
          <w:rFonts w:ascii="Times New Roman" w:hAnsi="Times New Roman"/>
          <w:lang w:eastAsia="pl-PL"/>
        </w:rPr>
        <w:t xml:space="preserve"> </w:t>
      </w:r>
      <w:r>
        <w:rPr>
          <w:rFonts w:ascii="Times New Roman" w:hAnsi="Times New Roman"/>
          <w:lang w:eastAsia="pl-PL"/>
        </w:rPr>
        <w:t>w </w:t>
      </w:r>
      <w:r w:rsidRPr="00A90EC3">
        <w:rPr>
          <w:rFonts w:ascii="Times New Roman" w:hAnsi="Times New Roman"/>
          <w:lang w:eastAsia="pl-PL"/>
        </w:rPr>
        <w:t>tr</w:t>
      </w:r>
      <w:r>
        <w:rPr>
          <w:rFonts w:ascii="Times New Roman" w:hAnsi="Times New Roman"/>
          <w:lang w:eastAsia="pl-PL"/>
        </w:rPr>
        <w:t xml:space="preserve">akcie realizacji tych czynności </w:t>
      </w:r>
      <w:r w:rsidRPr="00A90EC3">
        <w:rPr>
          <w:rFonts w:ascii="Times New Roman" w:hAnsi="Times New Roman"/>
          <w:lang w:eastAsia="pl-PL"/>
        </w:rPr>
        <w:t xml:space="preserve">w terminie jednego miesiąca po upływie obowiązywania </w:t>
      </w:r>
      <w:r>
        <w:rPr>
          <w:rFonts w:ascii="Times New Roman" w:hAnsi="Times New Roman"/>
          <w:lang w:eastAsia="pl-PL"/>
        </w:rPr>
        <w:t>specustawy.</w:t>
      </w:r>
    </w:p>
    <w:p w:rsidR="00A90EC3" w:rsidRPr="00A90EC3" w:rsidRDefault="00A90EC3" w:rsidP="00A90EC3">
      <w:pPr>
        <w:suppressAutoHyphens/>
        <w:autoSpaceDE w:val="0"/>
        <w:autoSpaceDN w:val="0"/>
        <w:adjustRightInd w:val="0"/>
        <w:spacing w:after="120" w:line="360" w:lineRule="auto"/>
        <w:jc w:val="both"/>
        <w:rPr>
          <w:rFonts w:ascii="Times New Roman" w:hAnsi="Times New Roman"/>
          <w:lang w:eastAsia="pl-PL"/>
        </w:rPr>
      </w:pPr>
      <w:r w:rsidRPr="00A90EC3">
        <w:rPr>
          <w:rFonts w:ascii="Times New Roman" w:hAnsi="Times New Roman"/>
          <w:lang w:eastAsia="pl-PL"/>
        </w:rPr>
        <w:t xml:space="preserve">Komendant Główny Policji będzie mógł w okresie obowiązywania </w:t>
      </w:r>
      <w:r>
        <w:rPr>
          <w:rFonts w:ascii="Times New Roman" w:hAnsi="Times New Roman"/>
          <w:lang w:eastAsia="pl-PL"/>
        </w:rPr>
        <w:t>specustawy</w:t>
      </w:r>
      <w:r w:rsidRPr="00A90EC3">
        <w:rPr>
          <w:rFonts w:ascii="Times New Roman" w:hAnsi="Times New Roman"/>
          <w:lang w:eastAsia="pl-PL"/>
        </w:rPr>
        <w:t xml:space="preserve"> wprowadzić pełnienie służby w systemie skoszarowanym. Ma to zapewnić sprawną i praw</w:t>
      </w:r>
      <w:r w:rsidR="00E74242">
        <w:rPr>
          <w:rFonts w:ascii="Times New Roman" w:hAnsi="Times New Roman"/>
          <w:lang w:eastAsia="pl-PL"/>
        </w:rPr>
        <w:t>idłową realizację zadań Policji</w:t>
      </w:r>
      <w:r w:rsidR="00333338">
        <w:rPr>
          <w:rFonts w:ascii="Times New Roman" w:hAnsi="Times New Roman"/>
          <w:lang w:eastAsia="pl-PL"/>
        </w:rPr>
        <w:t xml:space="preserve"> w </w:t>
      </w:r>
      <w:r w:rsidRPr="00A90EC3">
        <w:rPr>
          <w:rFonts w:ascii="Times New Roman" w:hAnsi="Times New Roman"/>
          <w:lang w:eastAsia="pl-PL"/>
        </w:rPr>
        <w:t xml:space="preserve">związku z zadaniami nałożonymi </w:t>
      </w:r>
      <w:r>
        <w:rPr>
          <w:rFonts w:ascii="Times New Roman" w:hAnsi="Times New Roman"/>
          <w:lang w:eastAsia="pl-PL"/>
        </w:rPr>
        <w:t>specustawą</w:t>
      </w:r>
      <w:r w:rsidR="00E74242">
        <w:rPr>
          <w:rFonts w:ascii="Times New Roman" w:hAnsi="Times New Roman"/>
          <w:lang w:eastAsia="pl-PL"/>
        </w:rPr>
        <w:t xml:space="preserve">, które mają </w:t>
      </w:r>
      <w:r w:rsidRPr="00A90EC3">
        <w:rPr>
          <w:rFonts w:ascii="Times New Roman" w:hAnsi="Times New Roman"/>
          <w:lang w:eastAsia="pl-PL"/>
        </w:rPr>
        <w:t>na celu zapobieganie oraz zwalczanie zakażenia i rozprzestrzenian</w:t>
      </w:r>
      <w:r w:rsidR="00E74242">
        <w:rPr>
          <w:rFonts w:ascii="Times New Roman" w:hAnsi="Times New Roman"/>
          <w:lang w:eastAsia="pl-PL"/>
        </w:rPr>
        <w:t xml:space="preserve">ia się </w:t>
      </w:r>
      <w:r>
        <w:rPr>
          <w:rFonts w:ascii="Times New Roman" w:hAnsi="Times New Roman"/>
          <w:lang w:eastAsia="pl-PL"/>
        </w:rPr>
        <w:t>COVID-19</w:t>
      </w:r>
      <w:r w:rsidRPr="00A90EC3">
        <w:rPr>
          <w:rFonts w:ascii="Times New Roman" w:hAnsi="Times New Roman"/>
          <w:lang w:eastAsia="pl-PL"/>
        </w:rPr>
        <w:t>.</w:t>
      </w:r>
    </w:p>
    <w:p w:rsidR="006C21DD" w:rsidRPr="00691C98" w:rsidRDefault="006C21D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prowadzeni</w:t>
      </w:r>
      <w:r w:rsidR="000B07B7">
        <w:rPr>
          <w:rFonts w:ascii="Times New Roman" w:hAnsi="Times New Roman"/>
          <w:b/>
          <w:lang w:eastAsia="pl-PL"/>
        </w:rPr>
        <w:t>a</w:t>
      </w:r>
      <w:r w:rsidRPr="00691C98">
        <w:rPr>
          <w:rFonts w:ascii="Times New Roman" w:hAnsi="Times New Roman"/>
          <w:b/>
          <w:lang w:eastAsia="pl-PL"/>
        </w:rPr>
        <w:t xml:space="preserve"> robót budowlanych</w:t>
      </w:r>
      <w:r w:rsidR="000B07B7">
        <w:rPr>
          <w:rFonts w:ascii="Times New Roman" w:hAnsi="Times New Roman"/>
          <w:b/>
          <w:lang w:eastAsia="pl-PL"/>
        </w:rPr>
        <w:t>:</w:t>
      </w:r>
    </w:p>
    <w:p w:rsidR="00DE7FDC" w:rsidRPr="00691C98" w:rsidRDefault="009E76EC"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Zmiany w ustawie </w:t>
      </w:r>
      <w:r w:rsidR="00DE7FDC" w:rsidRPr="00691C98">
        <w:rPr>
          <w:rFonts w:ascii="Times New Roman" w:hAnsi="Times New Roman"/>
          <w:lang w:eastAsia="pl-PL"/>
        </w:rPr>
        <w:t>ma</w:t>
      </w:r>
      <w:r>
        <w:rPr>
          <w:rFonts w:ascii="Times New Roman" w:hAnsi="Times New Roman"/>
          <w:lang w:eastAsia="pl-PL"/>
        </w:rPr>
        <w:t>ją</w:t>
      </w:r>
      <w:r w:rsidR="00DE7FDC" w:rsidRPr="00691C98">
        <w:rPr>
          <w:rFonts w:ascii="Times New Roman" w:hAnsi="Times New Roman"/>
          <w:lang w:eastAsia="pl-PL"/>
        </w:rPr>
        <w:t xml:space="preserve"> na celu wyłączenie zastosowania aktów planistycznych wydanych na podstawie ustawy o planowaniu i zagospodarowaniu przestrzennym do projektowania, budowy, przebudowy, remontu, utrzymania i rozbiórki obiektów budowlanych, w tym zmiany s</w:t>
      </w:r>
      <w:r w:rsidR="00C8336F">
        <w:rPr>
          <w:rFonts w:ascii="Times New Roman" w:hAnsi="Times New Roman"/>
          <w:lang w:eastAsia="pl-PL"/>
        </w:rPr>
        <w:t>posobu użytkowania, w związku z </w:t>
      </w:r>
      <w:r w:rsidR="00DE7FDC" w:rsidRPr="00691C98">
        <w:rPr>
          <w:rFonts w:ascii="Times New Roman" w:hAnsi="Times New Roman"/>
          <w:lang w:eastAsia="pl-PL"/>
        </w:rPr>
        <w:t>przeciwdziałaniem COVID-19. Akty te mają charakter przep</w:t>
      </w:r>
      <w:r w:rsidR="00C8336F">
        <w:rPr>
          <w:rFonts w:ascii="Times New Roman" w:hAnsi="Times New Roman"/>
          <w:lang w:eastAsia="pl-PL"/>
        </w:rPr>
        <w:t>isów miejscowo obowiązujących i określają m.in.</w:t>
      </w:r>
      <w:r w:rsidR="00DE7FDC" w:rsidRPr="00691C98">
        <w:rPr>
          <w:rFonts w:ascii="Times New Roman" w:hAnsi="Times New Roman"/>
          <w:lang w:eastAsia="pl-PL"/>
        </w:rPr>
        <w:t xml:space="preserve"> jaki rodzaj zabudowy jest dopuszczalny na danym terenie. Zmiana wpisuje się zatem w cel dotychczasowej regulacji </w:t>
      </w:r>
      <w:r w:rsidR="00DE7FDC" w:rsidRPr="000B07B7">
        <w:rPr>
          <w:rFonts w:ascii="Times New Roman" w:hAnsi="Times New Roman"/>
          <w:lang w:eastAsia="pl-PL"/>
        </w:rPr>
        <w:t>art. 12</w:t>
      </w:r>
      <w:r w:rsidR="000B07B7">
        <w:rPr>
          <w:rFonts w:ascii="Times New Roman" w:hAnsi="Times New Roman"/>
          <w:lang w:eastAsia="pl-PL"/>
        </w:rPr>
        <w:t xml:space="preserve"> specustawy</w:t>
      </w:r>
      <w:r w:rsidR="00DE7FDC" w:rsidRPr="00691C98">
        <w:rPr>
          <w:rFonts w:ascii="Times New Roman" w:hAnsi="Times New Roman"/>
          <w:lang w:eastAsia="pl-PL"/>
        </w:rPr>
        <w:t>, jakim jest ułatwienie realizacji zamierzeń budowlanych podejmowanych w związku z przeciwdziałaniem COVID-19.</w:t>
      </w:r>
    </w:p>
    <w:p w:rsidR="006C21DD" w:rsidRPr="00691C98" w:rsidRDefault="009E76EC"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Przepisy</w:t>
      </w:r>
      <w:r w:rsidR="00DE7FDC" w:rsidRPr="00691C98">
        <w:rPr>
          <w:rFonts w:ascii="Times New Roman" w:hAnsi="Times New Roman"/>
          <w:lang w:eastAsia="pl-PL"/>
        </w:rPr>
        <w:t xml:space="preserve"> służą zapewnieniu odpowiedniego poziomu bezpieczeństwa przy realizacji zamierzeń budowlanych podejmowanych w związku z przeciwdziałaniem COVID-19. Zasadne jest nałożenie na inwestora obowiązku niezwłocznego poinformowania organu administracji architektoniczno-budowlanej o robotach budowlanych oraz o zmianie sposobu użytkowania obiektu budowlanego lub jego części, które następują w związku z przeciwdziałaniem COVID-19. Wymóg przekazania tej informacji nie jest przy tym warunkiem przystąpienia do wykonywania robót budowlanych albo dokonania zmiany sposobu użytkowania. Dzięki tej informacji organ administracji architektoniczno-budowlanej uzyska niezbędną wiedzę o inwestycjach realizowanych w związku z przeciwdziałaniem COVID-19 oraz będzie miał możliwość działania, w przypadku w którym roboty budowlane spowodują zagrożenie życia lub zdrowia ludzi Wówczas organ w drodze decyzji podlegającej natychmiastowemu wykonaniu ustali wymagania dotyczące zabezpieczeń tych robót. By organ mógł podjąć sprawne działania w tej sferze, informacja od inwestora powinna określać podstawowe parametry realizowanego zamierzenia budowlanego. Zakres tych danych określa</w:t>
      </w:r>
      <w:r>
        <w:rPr>
          <w:rFonts w:ascii="Times New Roman" w:hAnsi="Times New Roman"/>
          <w:lang w:eastAsia="pl-PL"/>
        </w:rPr>
        <w:t>.</w:t>
      </w:r>
      <w:r w:rsidR="00DE7FDC" w:rsidRPr="00691C98">
        <w:rPr>
          <w:rFonts w:ascii="Times New Roman" w:hAnsi="Times New Roman"/>
          <w:lang w:eastAsia="pl-PL"/>
        </w:rPr>
        <w:t xml:space="preserve"> W przypadku robót budowlanych należy określić rodzaj, zakres i sposób wykonywania robót budowlanych oraz termin ich rozpoczęcia. Z kolei dla zmiany sposobu użytkowania konieczne jest wskazanie dotychczasowego i zamierzonego sposób użytkowania obiek</w:t>
      </w:r>
      <w:r w:rsidR="00D85A6E">
        <w:rPr>
          <w:rFonts w:ascii="Times New Roman" w:hAnsi="Times New Roman"/>
          <w:lang w:eastAsia="pl-PL"/>
        </w:rPr>
        <w:t>tu budowlanego lub jego części.</w:t>
      </w:r>
      <w:r w:rsidR="00DE7FDC" w:rsidRPr="00691C98">
        <w:rPr>
          <w:rFonts w:ascii="Times New Roman" w:hAnsi="Times New Roman"/>
          <w:lang w:eastAsia="pl-PL"/>
        </w:rPr>
        <w:t xml:space="preserve"> </w:t>
      </w:r>
      <w:r>
        <w:rPr>
          <w:rFonts w:ascii="Times New Roman" w:hAnsi="Times New Roman"/>
          <w:lang w:eastAsia="pl-PL"/>
        </w:rPr>
        <w:t xml:space="preserve">Proponowany przepis </w:t>
      </w:r>
      <w:r w:rsidR="00DE7FDC" w:rsidRPr="00691C98">
        <w:rPr>
          <w:rFonts w:ascii="Times New Roman" w:hAnsi="Times New Roman"/>
          <w:lang w:eastAsia="pl-PL"/>
        </w:rPr>
        <w:lastRenderedPageBreak/>
        <w:t>nakłada na inwestora obowiązek zapewnienia objęcia kierownictwa oraz nadzoru przez osoby posiadające odpowiednie uprawnienia budowlane nad robotami budowlanymi prowadzonymi w</w:t>
      </w:r>
      <w:r w:rsidR="00D85A6E">
        <w:rPr>
          <w:rFonts w:ascii="Times New Roman" w:hAnsi="Times New Roman"/>
          <w:lang w:eastAsia="pl-PL"/>
        </w:rPr>
        <w:t> </w:t>
      </w:r>
      <w:r w:rsidR="00DE7FDC" w:rsidRPr="00691C98">
        <w:rPr>
          <w:rFonts w:ascii="Times New Roman" w:hAnsi="Times New Roman"/>
          <w:lang w:eastAsia="pl-PL"/>
        </w:rPr>
        <w:t>związku z przeciwdziałaniem COVID-19, których ro</w:t>
      </w:r>
      <w:r w:rsidR="00D85A6E">
        <w:rPr>
          <w:rFonts w:ascii="Times New Roman" w:hAnsi="Times New Roman"/>
          <w:lang w:eastAsia="pl-PL"/>
        </w:rPr>
        <w:t xml:space="preserve">zpoczęcie, zgodnie z </w:t>
      </w:r>
      <w:r w:rsidR="004A00CC">
        <w:rPr>
          <w:rFonts w:ascii="Times New Roman" w:hAnsi="Times New Roman"/>
          <w:lang w:eastAsia="pl-PL"/>
        </w:rPr>
        <w:t>przepisami ustawy</w:t>
      </w:r>
      <w:r w:rsidR="00DE7FDC" w:rsidRPr="00691C98">
        <w:rPr>
          <w:rFonts w:ascii="Times New Roman" w:hAnsi="Times New Roman"/>
          <w:lang w:eastAsia="pl-PL"/>
        </w:rPr>
        <w:t>- Prawo budowl</w:t>
      </w:r>
      <w:r w:rsidR="00D85A6E">
        <w:rPr>
          <w:rFonts w:ascii="Times New Roman" w:hAnsi="Times New Roman"/>
          <w:lang w:eastAsia="pl-PL"/>
        </w:rPr>
        <w:t xml:space="preserve">ane, wymaga uzyskania decyzji o </w:t>
      </w:r>
      <w:r w:rsidR="00DE7FDC" w:rsidRPr="00691C98">
        <w:rPr>
          <w:rFonts w:ascii="Times New Roman" w:hAnsi="Times New Roman"/>
          <w:lang w:eastAsia="pl-PL"/>
        </w:rPr>
        <w:t xml:space="preserve">pozwoleniu na budowę. Pozwolenia na budowę wymagają roboty budowlane o większej skali trudności niż roboty budowlane realizowane w drodze zgłoszenia, co uzasadnia powiązanie przedmiotowego obowiązku inwestora z robotami budowlanymi objętymi pozwoleniem na budowę na gruncie ustawy - Prawo budowlane. </w:t>
      </w:r>
      <w:r w:rsidR="006C21DD" w:rsidRPr="00691C98">
        <w:rPr>
          <w:rFonts w:ascii="Times New Roman" w:hAnsi="Times New Roman"/>
          <w:lang w:eastAsia="pl-PL"/>
        </w:rPr>
        <w:t>Osoba posiadająca uprawnienia budowlane odpowiada nie tylko za przestrzeganie przepisów ale również za wy</w:t>
      </w:r>
      <w:r w:rsidR="00D85A6E">
        <w:rPr>
          <w:rFonts w:ascii="Times New Roman" w:hAnsi="Times New Roman"/>
          <w:lang w:eastAsia="pl-PL"/>
        </w:rPr>
        <w:t xml:space="preserve">konanie prac zgodnie z wiedzą i </w:t>
      </w:r>
      <w:r w:rsidR="006C21DD" w:rsidRPr="00691C98">
        <w:rPr>
          <w:rFonts w:ascii="Times New Roman" w:hAnsi="Times New Roman"/>
          <w:lang w:eastAsia="pl-PL"/>
        </w:rPr>
        <w:t>sztuką budowlaną, a co za tym idzie bezpieczeństwem ich wykonania i późniejszego użytkowania.</w:t>
      </w:r>
      <w:r w:rsidR="00DE7FDC" w:rsidRPr="00691C98">
        <w:rPr>
          <w:rFonts w:ascii="Times New Roman" w:hAnsi="Times New Roman"/>
          <w:lang w:eastAsia="pl-PL"/>
        </w:rPr>
        <w:t xml:space="preserve"> </w:t>
      </w:r>
      <w:r w:rsidR="006C21DD" w:rsidRPr="00691C98">
        <w:rPr>
          <w:rFonts w:ascii="Times New Roman" w:hAnsi="Times New Roman"/>
          <w:lang w:eastAsia="pl-PL"/>
        </w:rPr>
        <w:t>S</w:t>
      </w:r>
      <w:r w:rsidR="00D85A6E">
        <w:rPr>
          <w:rFonts w:ascii="Times New Roman" w:hAnsi="Times New Roman"/>
          <w:lang w:eastAsia="pl-PL"/>
        </w:rPr>
        <w:t>tąd też propozycja kierowania i n</w:t>
      </w:r>
      <w:r w:rsidR="006C21DD" w:rsidRPr="00691C98">
        <w:rPr>
          <w:rFonts w:ascii="Times New Roman" w:hAnsi="Times New Roman"/>
          <w:lang w:eastAsia="pl-PL"/>
        </w:rPr>
        <w:t>adzorowania prac wymagających pozwolenia na budowę przez osoby pełniące odpowiednie samodzielne funkcje techniczne.</w:t>
      </w:r>
    </w:p>
    <w:p w:rsidR="00B62DBA" w:rsidRDefault="00B62DBA"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badań lekarskich:</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Zmiana ma na celu zawieszenie obowiązku wykonywania badań prof</w:t>
      </w:r>
      <w:r>
        <w:rPr>
          <w:rFonts w:ascii="Times New Roman" w:hAnsi="Times New Roman"/>
          <w:lang w:eastAsia="pl-PL"/>
        </w:rPr>
        <w:t>ilaktycznych</w:t>
      </w:r>
      <w:r w:rsidRPr="00B62DBA">
        <w:rPr>
          <w:rFonts w:ascii="Times New Roman" w:hAnsi="Times New Roman"/>
          <w:lang w:eastAsia="pl-PL"/>
        </w:rPr>
        <w:t xml:space="preserve"> wynikających z</w:t>
      </w:r>
      <w:r>
        <w:rPr>
          <w:rFonts w:ascii="Times New Roman" w:hAnsi="Times New Roman"/>
          <w:lang w:eastAsia="pl-PL"/>
        </w:rPr>
        <w:t> </w:t>
      </w:r>
      <w:r w:rsidRPr="00B62DBA">
        <w:rPr>
          <w:rFonts w:ascii="Times New Roman" w:hAnsi="Times New Roman"/>
          <w:lang w:eastAsia="pl-PL"/>
        </w:rPr>
        <w:t>przepisów art. 229 § 2 zdanie pierwsze i § 4 - 5 ustawy</w:t>
      </w:r>
      <w:r>
        <w:rPr>
          <w:rFonts w:ascii="Times New Roman" w:hAnsi="Times New Roman"/>
          <w:lang w:eastAsia="pl-PL"/>
        </w:rPr>
        <w:t xml:space="preserve"> –</w:t>
      </w:r>
      <w:r w:rsidRPr="00B62DBA">
        <w:rPr>
          <w:rFonts w:ascii="Times New Roman" w:hAnsi="Times New Roman"/>
          <w:lang w:eastAsia="pl-PL"/>
        </w:rPr>
        <w:t xml:space="preserve"> Kodeks</w:t>
      </w:r>
      <w:r>
        <w:rPr>
          <w:rFonts w:ascii="Times New Roman" w:hAnsi="Times New Roman"/>
          <w:lang w:eastAsia="pl-PL"/>
        </w:rPr>
        <w:t xml:space="preserve"> pracy, art. 39j i 39k ustawy</w:t>
      </w:r>
      <w:r w:rsidRPr="00B62DBA">
        <w:rPr>
          <w:rFonts w:ascii="Times New Roman" w:hAnsi="Times New Roman"/>
          <w:lang w:eastAsia="pl-PL"/>
        </w:rPr>
        <w:t xml:space="preserve"> o transporcie drogowym oraz art. 22a ust. 7 ustawy o transporcie kolejowym w zakresie wykonywania okresowych badań lekarskich i badań psychologicznych.</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Zawieszenie stosowania przepisów nie obejmuje przeprowadzenia badań wstępnych i kontrolnych,</w:t>
      </w:r>
      <w:r>
        <w:rPr>
          <w:rFonts w:ascii="Times New Roman" w:hAnsi="Times New Roman"/>
          <w:lang w:eastAsia="pl-PL"/>
        </w:rPr>
        <w:t xml:space="preserve"> ale uwzględnienia możliwość </w:t>
      </w:r>
      <w:r w:rsidRPr="00B62DBA">
        <w:rPr>
          <w:rFonts w:ascii="Times New Roman" w:hAnsi="Times New Roman"/>
          <w:lang w:eastAsia="pl-PL"/>
        </w:rPr>
        <w:t>wykonywania ich w innym trybie.</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Projekt nie obejmuje również badań wykonywanych na podstawie szczególnych regulacji, jak np. badania lekarskie czy psychologiczne przeprowadzane na podstawie ustawy o broni i amunicji, czy badania lekarskie i psychologiczne przeprowadzane na podstawie ustawy o Policji.</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Konieczność podejmowania szeroko zakrojonych działań ma na celu zmi</w:t>
      </w:r>
      <w:r>
        <w:rPr>
          <w:rFonts w:ascii="Times New Roman" w:hAnsi="Times New Roman"/>
          <w:lang w:eastAsia="pl-PL"/>
        </w:rPr>
        <w:t>nimalizowanie ryzyka zakażenia COVID-19</w:t>
      </w:r>
      <w:r w:rsidRPr="00B62DBA">
        <w:rPr>
          <w:rFonts w:ascii="Times New Roman" w:hAnsi="Times New Roman"/>
          <w:lang w:eastAsia="pl-PL"/>
        </w:rPr>
        <w:t>, istnie</w:t>
      </w:r>
      <w:r>
        <w:rPr>
          <w:rFonts w:ascii="Times New Roman" w:hAnsi="Times New Roman"/>
          <w:lang w:eastAsia="pl-PL"/>
        </w:rPr>
        <w:t>je</w:t>
      </w:r>
      <w:r w:rsidRPr="00B62DBA">
        <w:rPr>
          <w:rFonts w:ascii="Times New Roman" w:hAnsi="Times New Roman"/>
          <w:lang w:eastAsia="pl-PL"/>
        </w:rPr>
        <w:t xml:space="preserve"> bowiem </w:t>
      </w:r>
      <w:r>
        <w:rPr>
          <w:rFonts w:ascii="Times New Roman" w:hAnsi="Times New Roman"/>
          <w:lang w:eastAsia="pl-PL"/>
        </w:rPr>
        <w:t>ryzyko</w:t>
      </w:r>
      <w:r w:rsidRPr="00B62DBA">
        <w:rPr>
          <w:rFonts w:ascii="Times New Roman" w:hAnsi="Times New Roman"/>
          <w:lang w:eastAsia="pl-PL"/>
        </w:rPr>
        <w:t xml:space="preserve"> narażenia pracownika wykonującego badania profilaktyczne na kontakt z chorym pacjentem, a także możl</w:t>
      </w:r>
      <w:r>
        <w:rPr>
          <w:rFonts w:ascii="Times New Roman" w:hAnsi="Times New Roman"/>
          <w:lang w:eastAsia="pl-PL"/>
        </w:rPr>
        <w:t>iwość podjęcia czy wykonywania pracy, z </w:t>
      </w:r>
      <w:r w:rsidRPr="00B62DBA">
        <w:rPr>
          <w:rFonts w:ascii="Times New Roman" w:hAnsi="Times New Roman"/>
          <w:lang w:eastAsia="pl-PL"/>
        </w:rPr>
        <w:t>uwagi na zaistniałe okoliczności, bez wcześniejszego przeprowadzenia profilaktycznych badań lekarskich i ich wykonanie niezwłocznie po ustaniu przyczyny ich zawieszenia. Zatem czasowe ograniczenie obowiązku wykonywania badań profilaktycznych pracowników jest uzasadnionym działaniem w zaistnia</w:t>
      </w:r>
      <w:r>
        <w:rPr>
          <w:rFonts w:ascii="Times New Roman" w:hAnsi="Times New Roman"/>
          <w:lang w:eastAsia="pl-PL"/>
        </w:rPr>
        <w:t>łej sytuacji epidemiologicznej.</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Przyjęto także, że po odwołaniu stanu zagrożenia epidemicznego, w przypadku gdy nie zostanie ogłoszony stan epidemii albo po odwołaniu stanu epidemii, pracodawca i pracownik są obowiązani niezwłocznie podjąć wykony</w:t>
      </w:r>
      <w:r>
        <w:rPr>
          <w:rFonts w:ascii="Times New Roman" w:hAnsi="Times New Roman"/>
          <w:lang w:eastAsia="pl-PL"/>
        </w:rPr>
        <w:t>wanie zawieszonych obowiązków i</w:t>
      </w:r>
      <w:r w:rsidRPr="00B62DBA">
        <w:rPr>
          <w:rFonts w:ascii="Times New Roman" w:hAnsi="Times New Roman"/>
          <w:lang w:eastAsia="pl-PL"/>
        </w:rPr>
        <w:t xml:space="preserve"> wykonać je w okresie nie dłuższym niż 60 dni </w:t>
      </w:r>
      <w:r>
        <w:rPr>
          <w:rFonts w:ascii="Times New Roman" w:hAnsi="Times New Roman"/>
          <w:lang w:eastAsia="pl-PL"/>
        </w:rPr>
        <w:t>od dnia odwołania danego stanu.</w:t>
      </w:r>
    </w:p>
    <w:p w:rsidR="00B62DBA" w:rsidRPr="00B62DBA" w:rsidRDefault="00B62DBA" w:rsidP="00B62DBA">
      <w:pPr>
        <w:suppressAutoHyphens/>
        <w:autoSpaceDE w:val="0"/>
        <w:autoSpaceDN w:val="0"/>
        <w:adjustRightInd w:val="0"/>
        <w:spacing w:after="120" w:line="360" w:lineRule="auto"/>
        <w:jc w:val="both"/>
        <w:rPr>
          <w:rFonts w:ascii="Times New Roman" w:hAnsi="Times New Roman"/>
          <w:lang w:eastAsia="pl-PL"/>
        </w:rPr>
      </w:pPr>
      <w:r w:rsidRPr="00B62DBA">
        <w:rPr>
          <w:rFonts w:ascii="Times New Roman" w:hAnsi="Times New Roman"/>
          <w:lang w:eastAsia="pl-PL"/>
        </w:rPr>
        <w:t xml:space="preserve">W proponowanych zmianach przyjęto, że w przypadku braku dostępności do lekarza uprawnionego do przeprowadzenia badania wstępnego lub kontrolnego, badanie takie może przeprowadzić i wydać odpowiednie orzeczenie lekarskie inny lekarz. Orzeczenie lekarskie wydane przez innego lekarza traci </w:t>
      </w:r>
      <w:r w:rsidRPr="00B62DBA">
        <w:rPr>
          <w:rFonts w:ascii="Times New Roman" w:hAnsi="Times New Roman"/>
          <w:lang w:eastAsia="pl-PL"/>
        </w:rPr>
        <w:lastRenderedPageBreak/>
        <w:t xml:space="preserve">moc po upływie 30 dni od dnia odwołania stanu zagrożenia epidemicznego, w przypadku gdy nie zostanie ogłoszony stan epidemii, albo od dnia odwołania stanu epidemii. Lekarz ten może przeprowadzić badanie i wydać orzeczenie lekarskie w trybie określonym w art. 2 ust. 4 ustawy </w:t>
      </w:r>
      <w:r>
        <w:rPr>
          <w:rFonts w:ascii="Times New Roman" w:hAnsi="Times New Roman"/>
          <w:lang w:eastAsia="pl-PL"/>
        </w:rPr>
        <w:t>o </w:t>
      </w:r>
      <w:r w:rsidRPr="00B62DBA">
        <w:rPr>
          <w:rFonts w:ascii="Times New Roman" w:hAnsi="Times New Roman"/>
          <w:lang w:eastAsia="pl-PL"/>
        </w:rPr>
        <w:t>wykonywaniu zawodu lekarza i lekarza dentysty tj. za pośrednictwem systemów teleinformatycznych lub systemów łączności. Do orzeczenie lekarskiego stosuje się odpowiednio art. 2 pkt 6 ustawy o systemie informacji w ochronie zdrowia</w:t>
      </w:r>
      <w:r>
        <w:rPr>
          <w:rFonts w:ascii="Times New Roman" w:hAnsi="Times New Roman"/>
          <w:lang w:eastAsia="pl-PL"/>
        </w:rPr>
        <w:t>,</w:t>
      </w:r>
      <w:r w:rsidRPr="00B62DBA">
        <w:rPr>
          <w:rFonts w:ascii="Times New Roman" w:hAnsi="Times New Roman"/>
          <w:lang w:eastAsia="pl-PL"/>
        </w:rPr>
        <w:t xml:space="preserve"> tj. tak jak w elektronicznej dokumentacji medycznej opatrzonej kwalifikowanym podpisem elektronicznym, podpisem zaufanym czy podpisem osobistym. Orzeczenie lekarza załącza się do akt osobowych pracownika.</w:t>
      </w:r>
    </w:p>
    <w:p w:rsidR="00F94E72" w:rsidRPr="00691C98" w:rsidRDefault="00F94E72"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Zmiana techniczna</w:t>
      </w:r>
      <w:r w:rsidR="00F96483">
        <w:rPr>
          <w:rFonts w:ascii="Times New Roman" w:hAnsi="Times New Roman"/>
          <w:b/>
          <w:lang w:eastAsia="pl-PL"/>
        </w:rPr>
        <w:t xml:space="preserve"> dotycząca rozwiązywania umów o udział w imprezie turystycznej</w:t>
      </w:r>
      <w:r w:rsidRPr="00691C98">
        <w:rPr>
          <w:rFonts w:ascii="Times New Roman" w:hAnsi="Times New Roman"/>
          <w:b/>
          <w:lang w:eastAsia="pl-PL"/>
        </w:rPr>
        <w:t>:</w:t>
      </w:r>
    </w:p>
    <w:p w:rsidR="00F94E72" w:rsidRPr="00691C98" w:rsidRDefault="00F94E72"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Poprawka techniczna, ma na celu dostosowanie tekstu normatywnego do stanu prawnego i organizacyjnego. Faktycznie przedsiębiorca turystyczny będzie zobligowany do złożenia deklaracji, nie zaś jej korekty, stąd zasadnym jest doprecyzowanie w procesie zwrotu składek. Do przypadków regulowanych </w:t>
      </w:r>
      <w:r w:rsidR="00AA30C8">
        <w:rPr>
          <w:rFonts w:ascii="Times New Roman" w:hAnsi="Times New Roman"/>
          <w:lang w:eastAsia="pl-PL"/>
        </w:rPr>
        <w:t>spec</w:t>
      </w:r>
      <w:r w:rsidRPr="00691C98">
        <w:rPr>
          <w:rFonts w:ascii="Times New Roman" w:hAnsi="Times New Roman"/>
          <w:lang w:eastAsia="pl-PL"/>
        </w:rPr>
        <w:t>ustawą nie ma zastosowania procedura składania korekt deklaracji. Przedsiębiorca turystyczny powinien złożyć korektę deklaracji tylko wówczas, jeśli deklaracja korygowana zawiera błędy, np. zostały wykazane umowy niezgodnie ze stanem faktycznym</w:t>
      </w:r>
      <w:r w:rsidR="00AA30C8">
        <w:rPr>
          <w:rFonts w:ascii="Times New Roman" w:hAnsi="Times New Roman"/>
          <w:lang w:eastAsia="pl-PL"/>
        </w:rPr>
        <w:t xml:space="preserve"> (jak choćby gdy</w:t>
      </w:r>
      <w:r w:rsidRPr="00691C98">
        <w:rPr>
          <w:rFonts w:ascii="Times New Roman" w:hAnsi="Times New Roman"/>
          <w:lang w:eastAsia="pl-PL"/>
        </w:rPr>
        <w:t xml:space="preserve"> przedsiębiorca turystyczny wykazał zawarte umowy w niewłaściwym zakresie terytorialnym lub w liczbie niezgodnej z liczbą faktycznie zawartych umów</w:t>
      </w:r>
      <w:r w:rsidR="00AA30C8">
        <w:rPr>
          <w:rFonts w:ascii="Times New Roman" w:hAnsi="Times New Roman"/>
          <w:lang w:eastAsia="pl-PL"/>
        </w:rPr>
        <w:t>)</w:t>
      </w:r>
      <w:r w:rsidRPr="00691C98">
        <w:rPr>
          <w:rFonts w:ascii="Times New Roman" w:hAnsi="Times New Roman"/>
          <w:lang w:eastAsia="pl-PL"/>
        </w:rPr>
        <w:t>. Natomiast w przypadku rozwiązania umowy lub odstąpienia przez podróżnych od zawartych wcześniej umów, należy je wykazać w deklaracji za miesiąc, w</w:t>
      </w:r>
      <w:r w:rsidR="00AA30C8">
        <w:rPr>
          <w:rFonts w:ascii="Times New Roman" w:hAnsi="Times New Roman"/>
          <w:lang w:eastAsia="pl-PL"/>
        </w:rPr>
        <w:t> k</w:t>
      </w:r>
      <w:r w:rsidRPr="00691C98">
        <w:rPr>
          <w:rFonts w:ascii="Times New Roman" w:hAnsi="Times New Roman"/>
          <w:lang w:eastAsia="pl-PL"/>
        </w:rPr>
        <w:t>tórym nastąpiło to rozwiązanie odpowiednio w sekcji II lub IV deklaracji. System informatyczny</w:t>
      </w:r>
      <w:r w:rsidR="00305553">
        <w:rPr>
          <w:rFonts w:ascii="Times New Roman" w:hAnsi="Times New Roman"/>
          <w:lang w:eastAsia="pl-PL"/>
        </w:rPr>
        <w:t xml:space="preserve"> Ubezpieczeniowego Funduszu Gwarancyjnego</w:t>
      </w:r>
      <w:r w:rsidRPr="00691C98">
        <w:rPr>
          <w:rFonts w:ascii="Times New Roman" w:hAnsi="Times New Roman"/>
          <w:lang w:eastAsia="pl-PL"/>
        </w:rPr>
        <w:t xml:space="preserve"> do składania deklaracji przez przedsiębiorców turystycznych jest przystosowany do obsługi deklaracji, w których zostały wykazane rozwiązane umowy.</w:t>
      </w:r>
    </w:p>
    <w:p w:rsidR="004100A3" w:rsidRPr="00691C98" w:rsidRDefault="004100A3"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dotyczące </w:t>
      </w:r>
      <w:r w:rsidR="007B2F7A">
        <w:rPr>
          <w:rFonts w:ascii="Times New Roman" w:hAnsi="Times New Roman"/>
          <w:b/>
          <w:lang w:eastAsia="pl-PL"/>
        </w:rPr>
        <w:t>z</w:t>
      </w:r>
      <w:r w:rsidRPr="00691C98">
        <w:rPr>
          <w:rFonts w:ascii="Times New Roman" w:hAnsi="Times New Roman"/>
          <w:b/>
          <w:lang w:eastAsia="pl-PL"/>
        </w:rPr>
        <w:t xml:space="preserve">akładów </w:t>
      </w:r>
      <w:r w:rsidR="007B2F7A">
        <w:rPr>
          <w:rFonts w:ascii="Times New Roman" w:hAnsi="Times New Roman"/>
          <w:b/>
          <w:lang w:eastAsia="pl-PL"/>
        </w:rPr>
        <w:t>a</w:t>
      </w:r>
      <w:r w:rsidRPr="00691C98">
        <w:rPr>
          <w:rFonts w:ascii="Times New Roman" w:hAnsi="Times New Roman"/>
          <w:b/>
          <w:lang w:eastAsia="pl-PL"/>
        </w:rPr>
        <w:t xml:space="preserve">ktywności </w:t>
      </w:r>
      <w:r w:rsidR="007B2F7A">
        <w:rPr>
          <w:rFonts w:ascii="Times New Roman" w:hAnsi="Times New Roman"/>
          <w:b/>
          <w:lang w:eastAsia="pl-PL"/>
        </w:rPr>
        <w:t>z</w:t>
      </w:r>
      <w:r w:rsidRPr="00691C98">
        <w:rPr>
          <w:rFonts w:ascii="Times New Roman" w:hAnsi="Times New Roman"/>
          <w:b/>
          <w:lang w:eastAsia="pl-PL"/>
        </w:rPr>
        <w:t>awodowej</w:t>
      </w:r>
      <w:r w:rsidR="000E3451" w:rsidRPr="00691C98">
        <w:rPr>
          <w:rFonts w:ascii="Times New Roman" w:hAnsi="Times New Roman"/>
          <w:b/>
          <w:lang w:eastAsia="pl-PL"/>
        </w:rPr>
        <w:t>:</w:t>
      </w:r>
    </w:p>
    <w:p w:rsidR="000018E5" w:rsidRPr="000018E5" w:rsidRDefault="000018E5" w:rsidP="000018E5">
      <w:pPr>
        <w:suppressAutoHyphens/>
        <w:autoSpaceDE w:val="0"/>
        <w:autoSpaceDN w:val="0"/>
        <w:adjustRightInd w:val="0"/>
        <w:spacing w:after="120" w:line="360" w:lineRule="auto"/>
        <w:jc w:val="both"/>
        <w:rPr>
          <w:rFonts w:ascii="Times New Roman" w:hAnsi="Times New Roman"/>
          <w:lang w:eastAsia="pl-PL"/>
        </w:rPr>
      </w:pPr>
      <w:r w:rsidRPr="000018E5">
        <w:rPr>
          <w:rFonts w:ascii="Times New Roman" w:hAnsi="Times New Roman"/>
          <w:lang w:eastAsia="pl-PL"/>
        </w:rPr>
        <w:t>Zakładami aktywności zawodowej, zgodnie z art. 29 ustawy o rehabilitacji zawodowej i społecznej oraz zatrudnianiu osób niepełnosprawnych, są wyodrębnione organizacyjnie i finansowo jednostki tworzone przez powiaty oraz fundacje, stowarzyszenia lub inne organizacje społeczne, których statutowym zadaniem jest rehabilitacja zawodowa i społeczna osób niepełnosprawnych. Zakład aktywności zawodowej stwarza osobom niepełnosprawnym zaliczonym do znacznego lub umiarkowanego stopnia niepełnosprawności, niezdolnym do pracy</w:t>
      </w:r>
      <w:r w:rsidR="003D6FFF">
        <w:rPr>
          <w:rFonts w:ascii="Times New Roman" w:hAnsi="Times New Roman"/>
          <w:lang w:eastAsia="pl-PL"/>
        </w:rPr>
        <w:t xml:space="preserve"> lub zdolnym do pracy jedynie w </w:t>
      </w:r>
      <w:r w:rsidRPr="000018E5">
        <w:rPr>
          <w:rFonts w:ascii="Times New Roman" w:hAnsi="Times New Roman"/>
          <w:lang w:eastAsia="pl-PL"/>
        </w:rPr>
        <w:t>warunkach chronionych, możliwość realizacji samodzielnego, niezależnego i aktywnego życia na miarę ich indywidualnych potrzeb, poprzez ich zatrudnienie oraz rehab</w:t>
      </w:r>
      <w:r w:rsidR="003D6FFF">
        <w:rPr>
          <w:rFonts w:ascii="Times New Roman" w:hAnsi="Times New Roman"/>
          <w:lang w:eastAsia="pl-PL"/>
        </w:rPr>
        <w:t>ilitację zawodową i społeczną.</w:t>
      </w:r>
    </w:p>
    <w:p w:rsidR="000018E5" w:rsidRPr="000018E5" w:rsidRDefault="003D6FFF" w:rsidP="000018E5">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w:t>
      </w:r>
      <w:r w:rsidR="000018E5" w:rsidRPr="000018E5">
        <w:rPr>
          <w:rFonts w:ascii="Times New Roman" w:hAnsi="Times New Roman"/>
          <w:lang w:eastAsia="pl-PL"/>
        </w:rPr>
        <w:t xml:space="preserve"> przypadku zawieszenia działalności lub zmniejs</w:t>
      </w:r>
      <w:r>
        <w:rPr>
          <w:rFonts w:ascii="Times New Roman" w:hAnsi="Times New Roman"/>
          <w:lang w:eastAsia="pl-PL"/>
        </w:rPr>
        <w:t>zenia przychodów z działalności</w:t>
      </w:r>
      <w:r w:rsidR="000018E5" w:rsidRPr="000018E5">
        <w:rPr>
          <w:rFonts w:ascii="Times New Roman" w:hAnsi="Times New Roman"/>
          <w:lang w:eastAsia="pl-PL"/>
        </w:rPr>
        <w:t xml:space="preserve"> wytwórczej lub usługowej z przyczyn związanyc</w:t>
      </w:r>
      <w:r>
        <w:rPr>
          <w:rFonts w:ascii="Times New Roman" w:hAnsi="Times New Roman"/>
          <w:lang w:eastAsia="pl-PL"/>
        </w:rPr>
        <w:t>h z przeciwdziałaniem COVID- 19</w:t>
      </w:r>
      <w:r w:rsidR="000018E5" w:rsidRPr="000018E5">
        <w:rPr>
          <w:rFonts w:ascii="Times New Roman" w:hAnsi="Times New Roman"/>
          <w:lang w:eastAsia="pl-PL"/>
        </w:rPr>
        <w:t xml:space="preserve"> </w:t>
      </w:r>
      <w:r>
        <w:rPr>
          <w:rFonts w:ascii="Times New Roman" w:hAnsi="Times New Roman"/>
          <w:lang w:eastAsia="pl-PL"/>
        </w:rPr>
        <w:t xml:space="preserve">zakłady aktywności zawodowej </w:t>
      </w:r>
      <w:r w:rsidR="000018E5" w:rsidRPr="000018E5">
        <w:rPr>
          <w:rFonts w:ascii="Times New Roman" w:hAnsi="Times New Roman"/>
          <w:lang w:eastAsia="pl-PL"/>
        </w:rPr>
        <w:t xml:space="preserve">będą mogły ubiegać się o rekompensatę poniesionych kosztów płacy za zatrudnionych pracowników niepełnosprawnych. Zakłady aktywności zawodowej otrzymują dofinansowanie do wynagrodzeń </w:t>
      </w:r>
      <w:r w:rsidR="000018E5" w:rsidRPr="000018E5">
        <w:rPr>
          <w:rFonts w:ascii="Times New Roman" w:hAnsi="Times New Roman"/>
          <w:lang w:eastAsia="pl-PL"/>
        </w:rPr>
        <w:lastRenderedPageBreak/>
        <w:t>pracowników niep</w:t>
      </w:r>
      <w:r>
        <w:rPr>
          <w:rFonts w:ascii="Times New Roman" w:hAnsi="Times New Roman"/>
          <w:lang w:eastAsia="pl-PL"/>
        </w:rPr>
        <w:t>ełnosprawnych ze środków Państwowego Funduszu Rehabilitacji Osób Niepełnosprawnych, w</w:t>
      </w:r>
      <w:r w:rsidR="000018E5" w:rsidRPr="000018E5">
        <w:rPr>
          <w:rFonts w:ascii="Times New Roman" w:hAnsi="Times New Roman"/>
          <w:lang w:eastAsia="pl-PL"/>
        </w:rPr>
        <w:t xml:space="preserve"> przy</w:t>
      </w:r>
      <w:r>
        <w:rPr>
          <w:rFonts w:ascii="Times New Roman" w:hAnsi="Times New Roman"/>
          <w:lang w:eastAsia="pl-PL"/>
        </w:rPr>
        <w:t>padku uprzedniego sfinansowania</w:t>
      </w:r>
      <w:r w:rsidR="000018E5" w:rsidRPr="000018E5">
        <w:rPr>
          <w:rFonts w:ascii="Times New Roman" w:hAnsi="Times New Roman"/>
          <w:lang w:eastAsia="pl-PL"/>
        </w:rPr>
        <w:t xml:space="preserve"> tych </w:t>
      </w:r>
      <w:r>
        <w:rPr>
          <w:rFonts w:ascii="Times New Roman" w:hAnsi="Times New Roman"/>
          <w:lang w:eastAsia="pl-PL"/>
        </w:rPr>
        <w:t>wydatków</w:t>
      </w:r>
      <w:r w:rsidR="000018E5" w:rsidRPr="000018E5">
        <w:rPr>
          <w:rFonts w:ascii="Times New Roman" w:hAnsi="Times New Roman"/>
          <w:lang w:eastAsia="pl-PL"/>
        </w:rPr>
        <w:t xml:space="preserve"> </w:t>
      </w:r>
      <w:r>
        <w:rPr>
          <w:rFonts w:ascii="Times New Roman" w:hAnsi="Times New Roman"/>
          <w:lang w:eastAsia="pl-PL"/>
        </w:rPr>
        <w:t xml:space="preserve">ze swojej działalności np. </w:t>
      </w:r>
      <w:r w:rsidR="000018E5" w:rsidRPr="000018E5">
        <w:rPr>
          <w:rFonts w:ascii="Times New Roman" w:hAnsi="Times New Roman"/>
          <w:lang w:eastAsia="pl-PL"/>
        </w:rPr>
        <w:t>usługowo-wytwórczej. W związku z powyższym możliwość wypłaty wynagrodzenia uzależniona jest od przychodu danego zakładu.</w:t>
      </w:r>
    </w:p>
    <w:p w:rsidR="00AE48D5" w:rsidRPr="00691C98" w:rsidRDefault="003D6FFF" w:rsidP="000018E5">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Zawieszenie</w:t>
      </w:r>
      <w:r w:rsidR="000018E5" w:rsidRPr="000018E5">
        <w:rPr>
          <w:rFonts w:ascii="Times New Roman" w:hAnsi="Times New Roman"/>
          <w:lang w:eastAsia="pl-PL"/>
        </w:rPr>
        <w:t xml:space="preserve"> lub zmniejszenie przychodów z działal</w:t>
      </w:r>
      <w:r>
        <w:rPr>
          <w:rFonts w:ascii="Times New Roman" w:hAnsi="Times New Roman"/>
          <w:lang w:eastAsia="pl-PL"/>
        </w:rPr>
        <w:t xml:space="preserve">ności spowoduje brak możliwości sfinansowania wynagrodzeń, a </w:t>
      </w:r>
      <w:r w:rsidR="000018E5" w:rsidRPr="000018E5">
        <w:rPr>
          <w:rFonts w:ascii="Times New Roman" w:hAnsi="Times New Roman"/>
          <w:lang w:eastAsia="pl-PL"/>
        </w:rPr>
        <w:t>w konsekwencji uniemożliwi ubieganie s</w:t>
      </w:r>
      <w:r w:rsidR="000018E5">
        <w:rPr>
          <w:rFonts w:ascii="Times New Roman" w:hAnsi="Times New Roman"/>
          <w:lang w:eastAsia="pl-PL"/>
        </w:rPr>
        <w:t xml:space="preserve">ię o </w:t>
      </w:r>
      <w:r w:rsidR="000018E5" w:rsidRPr="000018E5">
        <w:rPr>
          <w:rFonts w:ascii="Times New Roman" w:hAnsi="Times New Roman"/>
          <w:lang w:eastAsia="pl-PL"/>
        </w:rPr>
        <w:t xml:space="preserve">dofinansowanie z </w:t>
      </w:r>
      <w:r>
        <w:rPr>
          <w:rFonts w:ascii="Times New Roman" w:hAnsi="Times New Roman"/>
          <w:lang w:eastAsia="pl-PL"/>
        </w:rPr>
        <w:t>Państwowego Funduszu Rehabilitacji Osób Niepełnosprawnych</w:t>
      </w:r>
      <w:r w:rsidR="000018E5" w:rsidRPr="000018E5">
        <w:rPr>
          <w:rFonts w:ascii="Times New Roman" w:hAnsi="Times New Roman"/>
          <w:lang w:eastAsia="pl-PL"/>
        </w:rPr>
        <w:t>. Podjęte działania mają na celu wsparcie zakładów aktywności zawodowej, które znajdą się w trudnej sytuacji finans</w:t>
      </w:r>
      <w:r>
        <w:rPr>
          <w:rFonts w:ascii="Times New Roman" w:hAnsi="Times New Roman"/>
          <w:lang w:eastAsia="pl-PL"/>
        </w:rPr>
        <w:t>owej w związku ograniczeniami w </w:t>
      </w:r>
      <w:r w:rsidR="000018E5" w:rsidRPr="000018E5">
        <w:rPr>
          <w:rFonts w:ascii="Times New Roman" w:hAnsi="Times New Roman"/>
          <w:lang w:eastAsia="pl-PL"/>
        </w:rPr>
        <w:t>prowadzeniu przez nie działalności.</w:t>
      </w:r>
    </w:p>
    <w:p w:rsidR="00564649" w:rsidRPr="00691C98" w:rsidRDefault="00564649"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dotyczące warsztatów terapii zajęciowej:</w:t>
      </w:r>
    </w:p>
    <w:p w:rsidR="00564649" w:rsidRPr="00691C98" w:rsidRDefault="00202F7D" w:rsidP="00691C98">
      <w:pPr>
        <w:autoSpaceDE w:val="0"/>
        <w:autoSpaceDN w:val="0"/>
        <w:adjustRightInd w:val="0"/>
        <w:spacing w:after="120" w:line="360" w:lineRule="auto"/>
        <w:jc w:val="both"/>
        <w:rPr>
          <w:rFonts w:ascii="Times New Roman" w:hAnsi="Times New Roman"/>
          <w:color w:val="000000"/>
        </w:rPr>
      </w:pPr>
      <w:r>
        <w:rPr>
          <w:rFonts w:ascii="Times New Roman" w:hAnsi="Times New Roman"/>
          <w:color w:val="000000"/>
        </w:rPr>
        <w:t xml:space="preserve">W </w:t>
      </w:r>
      <w:r w:rsidR="00564649" w:rsidRPr="00691C98">
        <w:rPr>
          <w:rFonts w:ascii="Times New Roman" w:hAnsi="Times New Roman"/>
          <w:color w:val="000000"/>
        </w:rPr>
        <w:t>związku z możliwoś</w:t>
      </w:r>
      <w:r w:rsidR="008175CB">
        <w:rPr>
          <w:rFonts w:ascii="Times New Roman" w:hAnsi="Times New Roman"/>
          <w:color w:val="000000"/>
        </w:rPr>
        <w:t>cią zawieszenia</w:t>
      </w:r>
      <w:r w:rsidR="00564649" w:rsidRPr="00691C98">
        <w:rPr>
          <w:rFonts w:ascii="Times New Roman" w:hAnsi="Times New Roman"/>
          <w:color w:val="000000"/>
        </w:rPr>
        <w:t xml:space="preserve"> na s</w:t>
      </w:r>
      <w:r w:rsidR="008175CB">
        <w:rPr>
          <w:rFonts w:ascii="Times New Roman" w:hAnsi="Times New Roman"/>
          <w:color w:val="000000"/>
        </w:rPr>
        <w:t>kutek przeciwdziałania COVID-19</w:t>
      </w:r>
      <w:r w:rsidR="00564649" w:rsidRPr="00691C98">
        <w:rPr>
          <w:rFonts w:ascii="Times New Roman" w:hAnsi="Times New Roman"/>
          <w:color w:val="000000"/>
        </w:rPr>
        <w:t xml:space="preserve"> działalności warsztatów terapii zajęciowej, konieczne jest ustanowienie rozwiązania gwarantującego, że w takiej sytuacji, niezależnej od warsztatów terapii zajęciowej, dofinansowanie ze środków </w:t>
      </w:r>
      <w:r w:rsidR="007B2F7A">
        <w:rPr>
          <w:rFonts w:ascii="Times New Roman" w:hAnsi="Times New Roman"/>
          <w:color w:val="000000"/>
        </w:rPr>
        <w:t>PFRON</w:t>
      </w:r>
      <w:r w:rsidR="00564649" w:rsidRPr="00691C98">
        <w:rPr>
          <w:rFonts w:ascii="Times New Roman" w:hAnsi="Times New Roman"/>
          <w:color w:val="000000"/>
        </w:rPr>
        <w:t xml:space="preserve"> kosztów uczestnictwa w warsztacie terapii zajęciowej nie ulegnie</w:t>
      </w:r>
      <w:r w:rsidR="008175CB">
        <w:rPr>
          <w:rFonts w:ascii="Times New Roman" w:hAnsi="Times New Roman"/>
          <w:color w:val="000000"/>
        </w:rPr>
        <w:t xml:space="preserve"> obniżeniu. Rozwiązanie zapewni</w:t>
      </w:r>
      <w:r w:rsidR="00564649" w:rsidRPr="00691C98">
        <w:rPr>
          <w:rFonts w:ascii="Times New Roman" w:hAnsi="Times New Roman"/>
          <w:color w:val="000000"/>
        </w:rPr>
        <w:t>, że warsztat terapii zajęciowej nie zostanie obciążony konsekwencjami związanymi z zapobieganiem rozprzestrzeniania się COVID-19.</w:t>
      </w:r>
    </w:p>
    <w:p w:rsidR="00180F0B" w:rsidRPr="00691C98" w:rsidRDefault="00180F0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 xml:space="preserve">Zmiany dotyczące centrów </w:t>
      </w:r>
      <w:r w:rsidRPr="00EB5ECA">
        <w:rPr>
          <w:rFonts w:ascii="Times New Roman" w:hAnsi="Times New Roman"/>
          <w:b/>
        </w:rPr>
        <w:t>i</w:t>
      </w:r>
      <w:r w:rsidRPr="00691C98">
        <w:rPr>
          <w:rFonts w:ascii="Times New Roman" w:hAnsi="Times New Roman"/>
        </w:rPr>
        <w:t xml:space="preserve"> </w:t>
      </w:r>
      <w:r w:rsidRPr="00691C98">
        <w:rPr>
          <w:rFonts w:ascii="Times New Roman" w:hAnsi="Times New Roman"/>
          <w:b/>
          <w:lang w:eastAsia="pl-PL"/>
        </w:rPr>
        <w:t>klubów integracji społecznej:</w:t>
      </w:r>
    </w:p>
    <w:p w:rsidR="00180F0B"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Centra integracji społecznej oraz kluby integracji społecznej są podm</w:t>
      </w:r>
      <w:r w:rsidR="00EB5ECA">
        <w:rPr>
          <w:rFonts w:ascii="Times New Roman" w:hAnsi="Times New Roman"/>
          <w:color w:val="000000"/>
        </w:rPr>
        <w:t>iotami prowadzącymi działania z </w:t>
      </w:r>
      <w:r w:rsidRPr="00691C98">
        <w:rPr>
          <w:rFonts w:ascii="Times New Roman" w:hAnsi="Times New Roman"/>
          <w:color w:val="000000"/>
        </w:rPr>
        <w:t>zakresu reintegracji zawodowej i społecznej osób podlegają</w:t>
      </w:r>
      <w:r w:rsidR="00EB5ECA">
        <w:rPr>
          <w:rFonts w:ascii="Times New Roman" w:hAnsi="Times New Roman"/>
          <w:color w:val="000000"/>
        </w:rPr>
        <w:t>cych wykluczeniu społecznemu, w </w:t>
      </w:r>
      <w:r w:rsidRPr="00691C98">
        <w:rPr>
          <w:rFonts w:ascii="Times New Roman" w:hAnsi="Times New Roman"/>
          <w:color w:val="000000"/>
        </w:rPr>
        <w:t xml:space="preserve">szczególności osób: niepełnosprawnych, długotrwale bezrobotnych, </w:t>
      </w:r>
      <w:r w:rsidR="00EB5ECA">
        <w:rPr>
          <w:rFonts w:ascii="Times New Roman" w:hAnsi="Times New Roman"/>
          <w:color w:val="000000"/>
        </w:rPr>
        <w:t>uzależnionych od alkoholu i </w:t>
      </w:r>
      <w:r w:rsidRPr="00691C98">
        <w:rPr>
          <w:rFonts w:ascii="Times New Roman" w:hAnsi="Times New Roman"/>
          <w:color w:val="000000"/>
        </w:rPr>
        <w:t>chorych psychicznie. W przypadku zawieszenia działalności centrów oraz klubów integracji społecznej, w celu zapewnienia ciągłości ich funkcjonowania, konieczne jest wprowadzenie regulacji umożliwiających finansowanie ich działalności z dotacji przyznanych przez organ administracji publicznej, w szczególności dotacji, których wysokość uzależnion</w:t>
      </w:r>
      <w:r w:rsidR="00EB5ECA">
        <w:rPr>
          <w:rFonts w:ascii="Times New Roman" w:hAnsi="Times New Roman"/>
          <w:color w:val="000000"/>
        </w:rPr>
        <w:t>a jest od liczby uczestników. W </w:t>
      </w:r>
      <w:r w:rsidRPr="00691C98">
        <w:rPr>
          <w:rFonts w:ascii="Times New Roman" w:hAnsi="Times New Roman"/>
          <w:color w:val="000000"/>
        </w:rPr>
        <w:t>sytuacji zawieszenia zajęć prowadzonych w tych jednostkach ponoszą one koszty administracyjne (m.in. utrzymanie budynku, koszty eksploatacyjne, telekomunikacyjne) oraz związane z zatrudnieniem personelu.</w:t>
      </w:r>
    </w:p>
    <w:p w:rsidR="00180F0B"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Dodatkowo, uczestnik zajęć centrum in</w:t>
      </w:r>
      <w:r w:rsidR="00EB5ECA">
        <w:rPr>
          <w:rFonts w:ascii="Times New Roman" w:hAnsi="Times New Roman"/>
          <w:color w:val="000000"/>
        </w:rPr>
        <w:t>tegracji społecznej otrzymuje z </w:t>
      </w:r>
      <w:r w:rsidRPr="00691C98">
        <w:rPr>
          <w:rFonts w:ascii="Times New Roman" w:hAnsi="Times New Roman"/>
          <w:color w:val="000000"/>
        </w:rPr>
        <w:t xml:space="preserve">Funduszu Pracy świadczenie integracyjne w wysokości zasiłku dla bezrobotnych. </w:t>
      </w:r>
      <w:r w:rsidR="00895212">
        <w:rPr>
          <w:rFonts w:ascii="Times New Roman" w:hAnsi="Times New Roman"/>
          <w:color w:val="000000"/>
        </w:rPr>
        <w:t>Nowe brzmienie przepisu</w:t>
      </w:r>
      <w:r w:rsidRPr="00691C98">
        <w:rPr>
          <w:rFonts w:ascii="Times New Roman" w:hAnsi="Times New Roman"/>
          <w:color w:val="000000"/>
        </w:rPr>
        <w:t xml:space="preserve"> umożliwia wypłatę tego świadczenia, które jest często jedynym źródłem utrzymania, również w okresie zawieszenia zajęć prowadzonych przez centrum integracji społecznej w związk</w:t>
      </w:r>
      <w:r w:rsidR="00EB5ECA">
        <w:rPr>
          <w:rFonts w:ascii="Times New Roman" w:hAnsi="Times New Roman"/>
          <w:color w:val="000000"/>
        </w:rPr>
        <w:t>u z przeciwdziałaniem COVID-19.</w:t>
      </w:r>
    </w:p>
    <w:p w:rsidR="00564649"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Świadczenie integracyjne będzie wypłacane w dotychczasowej wysokości dla uprawnionych uczestników na czas zawieszenia zajęć w centrum integracji społecznej. Projektowane rozwiązanie nie generuje więc dodatkowych kosztów dla Funduszu Pracy w tym zakresie.</w:t>
      </w:r>
    </w:p>
    <w:p w:rsidR="00180F0B" w:rsidRPr="00691C98" w:rsidRDefault="00180F0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lastRenderedPageBreak/>
        <w:t>Zmiany dotyczące środowiskowych domów samopomocy:</w:t>
      </w:r>
    </w:p>
    <w:p w:rsidR="00180F0B"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W przypadku zawieszenia lub czasowego zamknięcia działalnoś</w:t>
      </w:r>
      <w:r w:rsidR="00EB5ECA">
        <w:rPr>
          <w:rFonts w:ascii="Times New Roman" w:hAnsi="Times New Roman"/>
          <w:color w:val="000000"/>
        </w:rPr>
        <w:t>ci ośrodków wsparcia dla osób z </w:t>
      </w:r>
      <w:r w:rsidRPr="00691C98">
        <w:rPr>
          <w:rFonts w:ascii="Times New Roman" w:hAnsi="Times New Roman"/>
          <w:color w:val="000000"/>
        </w:rPr>
        <w:t>zaburzeniami psychicznymi, w celu zapewnienia ciągłości ich finansowania</w:t>
      </w:r>
      <w:r w:rsidR="008175CB">
        <w:rPr>
          <w:rFonts w:ascii="Times New Roman" w:hAnsi="Times New Roman"/>
          <w:color w:val="000000"/>
        </w:rPr>
        <w:t>,</w:t>
      </w:r>
      <w:r w:rsidRPr="00691C98">
        <w:rPr>
          <w:rFonts w:ascii="Times New Roman" w:hAnsi="Times New Roman"/>
          <w:color w:val="000000"/>
        </w:rPr>
        <w:t xml:space="preserve"> konieczne jest wprowadzenie regulacji umożliwiających wojew</w:t>
      </w:r>
      <w:r w:rsidR="00EB5ECA">
        <w:rPr>
          <w:rFonts w:ascii="Times New Roman" w:hAnsi="Times New Roman"/>
          <w:color w:val="000000"/>
        </w:rPr>
        <w:t xml:space="preserve">odom przekazywanie miesięcznej </w:t>
      </w:r>
      <w:r w:rsidRPr="00691C98">
        <w:rPr>
          <w:rFonts w:ascii="Times New Roman" w:hAnsi="Times New Roman"/>
          <w:color w:val="000000"/>
        </w:rPr>
        <w:t>dotacji.</w:t>
      </w:r>
    </w:p>
    <w:p w:rsidR="004100A3" w:rsidRPr="00691C98" w:rsidRDefault="00180F0B" w:rsidP="00691C98">
      <w:pPr>
        <w:suppressAutoHyphens/>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W sytuacji zamknięcia lub zawieszenia działalności tych jednostek ponoszą one koszty administracyjne (m.in. utrzymanie budynku, koszty eksploatacyjne, telekomunikacyjne) oraz związane z zatrudnieniem personelu.</w:t>
      </w:r>
    </w:p>
    <w:p w:rsidR="00180F0B" w:rsidRPr="00691C98" w:rsidRDefault="00180F0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 xml:space="preserve">Zmiany w ramach programu </w:t>
      </w:r>
      <w:r w:rsidR="008175CB">
        <w:rPr>
          <w:rFonts w:ascii="Times New Roman" w:hAnsi="Times New Roman"/>
          <w:b/>
          <w:lang w:eastAsia="pl-PL"/>
        </w:rPr>
        <w:t>„</w:t>
      </w:r>
      <w:r w:rsidRPr="00691C98">
        <w:rPr>
          <w:rFonts w:ascii="Times New Roman" w:hAnsi="Times New Roman"/>
          <w:b/>
          <w:lang w:eastAsia="pl-PL"/>
        </w:rPr>
        <w:t>MALUCH+</w:t>
      </w:r>
      <w:r w:rsidR="008175CB">
        <w:rPr>
          <w:rFonts w:ascii="Times New Roman" w:hAnsi="Times New Roman"/>
          <w:b/>
          <w:lang w:eastAsia="pl-PL"/>
        </w:rPr>
        <w:t>”</w:t>
      </w:r>
      <w:r w:rsidRPr="00691C98">
        <w:rPr>
          <w:rFonts w:ascii="Times New Roman" w:hAnsi="Times New Roman"/>
          <w:b/>
          <w:lang w:eastAsia="pl-PL"/>
        </w:rPr>
        <w:t>:</w:t>
      </w:r>
    </w:p>
    <w:p w:rsidR="000E3451" w:rsidRPr="00691C98" w:rsidRDefault="00180F0B" w:rsidP="00691C98">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Propozycja zabezpieczy podmioty, które otrzymały środki na funkcjonowanie żłobków, klubów dzi</w:t>
      </w:r>
      <w:r w:rsidR="008175CB">
        <w:rPr>
          <w:rFonts w:ascii="Times New Roman" w:hAnsi="Times New Roman"/>
          <w:color w:val="000000"/>
        </w:rPr>
        <w:t>ecięcych i dziennych opiekunów w ramach programu „MALUCH+”</w:t>
      </w:r>
      <w:r w:rsidRPr="00691C98">
        <w:rPr>
          <w:rFonts w:ascii="Times New Roman" w:hAnsi="Times New Roman"/>
          <w:color w:val="000000"/>
        </w:rPr>
        <w:t xml:space="preserve"> przed koniecznością zwrotu tych środków w przypadku zamknięcia tych instytucji</w:t>
      </w:r>
      <w:r w:rsidR="008175CB">
        <w:rPr>
          <w:rFonts w:ascii="Times New Roman" w:hAnsi="Times New Roman"/>
          <w:color w:val="000000"/>
        </w:rPr>
        <w:t>,</w:t>
      </w:r>
      <w:r w:rsidRPr="00691C98">
        <w:rPr>
          <w:rFonts w:ascii="Times New Roman" w:hAnsi="Times New Roman"/>
          <w:color w:val="000000"/>
        </w:rPr>
        <w:t xml:space="preserve"> z uwagi na zagrożenie koronawirusem.</w:t>
      </w:r>
    </w:p>
    <w:p w:rsidR="000E3451" w:rsidRPr="00691C98" w:rsidRDefault="000E345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dotyczące zatrudniania młodocianych pracowników:</w:t>
      </w:r>
    </w:p>
    <w:p w:rsidR="001E296E" w:rsidRPr="001E296E" w:rsidRDefault="001E296E" w:rsidP="001E296E">
      <w:pPr>
        <w:spacing w:after="120" w:line="360" w:lineRule="auto"/>
        <w:jc w:val="both"/>
        <w:rPr>
          <w:rFonts w:ascii="Times New Roman" w:hAnsi="Times New Roman"/>
          <w:szCs w:val="24"/>
        </w:rPr>
      </w:pPr>
      <w:r w:rsidRPr="001E296E">
        <w:rPr>
          <w:rFonts w:ascii="Times New Roman" w:hAnsi="Times New Roman"/>
          <w:szCs w:val="24"/>
        </w:rPr>
        <w:t>Przepis ten ma na celu zagwarantowanie młodocianym pracownikom zatrudnionym w celu przygotowania zawodowego (w formie nauki zawodu oraz przyuczenia d</w:t>
      </w:r>
      <w:r>
        <w:rPr>
          <w:rFonts w:ascii="Times New Roman" w:hAnsi="Times New Roman"/>
          <w:szCs w:val="24"/>
        </w:rPr>
        <w:t>o wykonywania określonej pracy)</w:t>
      </w:r>
      <w:r w:rsidRPr="001E296E">
        <w:rPr>
          <w:rFonts w:ascii="Times New Roman" w:hAnsi="Times New Roman"/>
          <w:szCs w:val="24"/>
        </w:rPr>
        <w:t xml:space="preserve"> obligatoryjnego zwolnieni</w:t>
      </w:r>
      <w:r>
        <w:rPr>
          <w:rFonts w:ascii="Times New Roman" w:hAnsi="Times New Roman"/>
          <w:szCs w:val="24"/>
        </w:rPr>
        <w:t>a</w:t>
      </w:r>
      <w:r w:rsidRPr="001E296E">
        <w:rPr>
          <w:rFonts w:ascii="Times New Roman" w:hAnsi="Times New Roman"/>
          <w:szCs w:val="24"/>
        </w:rPr>
        <w:t xml:space="preserve"> z obowiązku świadczenia pracy przez pracodawcę – w związku z</w:t>
      </w:r>
      <w:r>
        <w:rPr>
          <w:rFonts w:ascii="Times New Roman" w:hAnsi="Times New Roman"/>
          <w:szCs w:val="24"/>
        </w:rPr>
        <w:t> </w:t>
      </w:r>
      <w:r w:rsidRPr="001E296E">
        <w:rPr>
          <w:rFonts w:ascii="Times New Roman" w:hAnsi="Times New Roman"/>
          <w:szCs w:val="24"/>
        </w:rPr>
        <w:t xml:space="preserve">tym, że począwszy od dnia 12 marca </w:t>
      </w:r>
      <w:r>
        <w:rPr>
          <w:rFonts w:ascii="Times New Roman" w:hAnsi="Times New Roman"/>
          <w:szCs w:val="24"/>
        </w:rPr>
        <w:t>2020 r.</w:t>
      </w:r>
      <w:r w:rsidRPr="001E296E">
        <w:rPr>
          <w:rFonts w:ascii="Times New Roman" w:hAnsi="Times New Roman"/>
          <w:szCs w:val="24"/>
        </w:rPr>
        <w:t xml:space="preserve"> zamknięte są szkoły, do których uczęszczają młodociani zatrudnieni w formie nauki zawodu. Działania te mają na celu ochronę młodzieży przed zagrożeniem spowodowanym zwiększeniem </w:t>
      </w:r>
      <w:r>
        <w:rPr>
          <w:rFonts w:ascii="Times New Roman" w:hAnsi="Times New Roman"/>
          <w:szCs w:val="24"/>
        </w:rPr>
        <w:t xml:space="preserve">liczby </w:t>
      </w:r>
      <w:r w:rsidRPr="001E296E">
        <w:rPr>
          <w:rFonts w:ascii="Times New Roman" w:hAnsi="Times New Roman"/>
          <w:szCs w:val="24"/>
        </w:rPr>
        <w:t>zachorowań wywołanych koronawirusem.</w:t>
      </w:r>
    </w:p>
    <w:p w:rsidR="001E296E" w:rsidRPr="001E296E" w:rsidRDefault="001E296E" w:rsidP="001E296E">
      <w:pPr>
        <w:spacing w:after="120" w:line="360" w:lineRule="auto"/>
        <w:jc w:val="both"/>
        <w:rPr>
          <w:rFonts w:ascii="Times New Roman" w:hAnsi="Times New Roman"/>
          <w:szCs w:val="24"/>
        </w:rPr>
      </w:pPr>
      <w:r w:rsidRPr="001E296E">
        <w:rPr>
          <w:rFonts w:ascii="Times New Roman" w:hAnsi="Times New Roman"/>
          <w:szCs w:val="24"/>
        </w:rPr>
        <w:t>Zaproponowany przepis zobowiązuje pracodawcę do zwolnienia młodocianego pracownika z</w:t>
      </w:r>
      <w:r>
        <w:rPr>
          <w:rFonts w:ascii="Times New Roman" w:hAnsi="Times New Roman"/>
          <w:szCs w:val="24"/>
        </w:rPr>
        <w:t> </w:t>
      </w:r>
      <w:r w:rsidRPr="001E296E">
        <w:rPr>
          <w:rFonts w:ascii="Times New Roman" w:hAnsi="Times New Roman"/>
          <w:szCs w:val="24"/>
        </w:rPr>
        <w:t>obowiązku świadczenia pracy w okresie czasowego ograniczenia funkcjonowania jednostek systemu oświaty, bez obowiązku wypłaty mu wynagrodzenia</w:t>
      </w:r>
      <w:r>
        <w:rPr>
          <w:rFonts w:ascii="Times New Roman" w:hAnsi="Times New Roman"/>
          <w:szCs w:val="24"/>
        </w:rPr>
        <w:t xml:space="preserve"> </w:t>
      </w:r>
      <w:r w:rsidRPr="001E296E">
        <w:rPr>
          <w:rFonts w:ascii="Times New Roman" w:hAnsi="Times New Roman"/>
          <w:szCs w:val="24"/>
        </w:rPr>
        <w:t>za okres tego zwolnienia. Niemniej konieczne jest zwrócenie uwagi, że przepis ten nie zakazuje pracodawcy wypłaty wynagrodzenia w okresie nie świadczenia pracy – pracodawca zawsze może to zrobić, gdyż takie działanie (niezależnie od tego czy pracodawca wypłaci pracownikowi tylko kwotę podlegającą refundacji, czy wyższą, jeżeli taka kwota wynagrodzenia wynika z umowy o pracę) będzie rozpatrywane jako bardziej korzystne dla pracownika, a na takie działania zezwalają przepisy prawa pracy.</w:t>
      </w:r>
    </w:p>
    <w:p w:rsidR="001E296E" w:rsidRPr="001E296E" w:rsidRDefault="001E296E" w:rsidP="001E296E">
      <w:pPr>
        <w:spacing w:after="120" w:line="360" w:lineRule="auto"/>
        <w:jc w:val="both"/>
        <w:rPr>
          <w:rFonts w:ascii="Times New Roman" w:hAnsi="Times New Roman"/>
          <w:szCs w:val="24"/>
        </w:rPr>
      </w:pPr>
      <w:r>
        <w:rPr>
          <w:rFonts w:ascii="Times New Roman" w:hAnsi="Times New Roman"/>
          <w:szCs w:val="24"/>
        </w:rPr>
        <w:t>Natomiast</w:t>
      </w:r>
      <w:r w:rsidRPr="001E296E">
        <w:rPr>
          <w:rFonts w:ascii="Times New Roman" w:hAnsi="Times New Roman"/>
          <w:szCs w:val="24"/>
        </w:rPr>
        <w:t xml:space="preserve"> w przypadku gdy pracodawca, któremu przyznana została refundacja wynagrodzenia młodocianego pracownika, zdecyduje się na wypłatę młodocianemu wynagrodzenia za okres nie świadczenia pracy, wynagrodzenie to zostanie mu zrefundowane na podstawie obowiązującej umowy refundacyjnej w wysokości wynikającej z tej umowy. </w:t>
      </w:r>
    </w:p>
    <w:p w:rsidR="001E296E" w:rsidRPr="001E296E" w:rsidRDefault="001E296E" w:rsidP="001E296E">
      <w:pPr>
        <w:spacing w:after="120" w:line="360" w:lineRule="auto"/>
        <w:jc w:val="both"/>
        <w:rPr>
          <w:rFonts w:ascii="Times New Roman" w:hAnsi="Times New Roman"/>
          <w:szCs w:val="24"/>
        </w:rPr>
      </w:pPr>
      <w:r w:rsidRPr="00032498">
        <w:rPr>
          <w:rFonts w:ascii="Times New Roman" w:hAnsi="Times New Roman"/>
          <w:szCs w:val="24"/>
        </w:rPr>
        <w:t>W celu dostosowania regulacji zawartych w zaproponowanym prze</w:t>
      </w:r>
      <w:r w:rsidR="00032498">
        <w:rPr>
          <w:rFonts w:ascii="Times New Roman" w:hAnsi="Times New Roman"/>
          <w:szCs w:val="24"/>
        </w:rPr>
        <w:t>pisie do rozwiązań przyjętych w </w:t>
      </w:r>
      <w:r w:rsidRPr="00032498">
        <w:rPr>
          <w:rFonts w:ascii="Times New Roman" w:hAnsi="Times New Roman"/>
          <w:szCs w:val="24"/>
        </w:rPr>
        <w:t>zakresie jednostek systemu oświaty, mając na względzie ochronę z</w:t>
      </w:r>
      <w:r w:rsidR="00032498">
        <w:rPr>
          <w:rFonts w:ascii="Times New Roman" w:hAnsi="Times New Roman"/>
          <w:szCs w:val="24"/>
        </w:rPr>
        <w:t>drowia młodzieży zatrudnionej w </w:t>
      </w:r>
      <w:r w:rsidRPr="00032498">
        <w:rPr>
          <w:rFonts w:ascii="Times New Roman" w:hAnsi="Times New Roman"/>
          <w:szCs w:val="24"/>
        </w:rPr>
        <w:t xml:space="preserve">formie nauki zawodu, </w:t>
      </w:r>
      <w:r w:rsidR="00032498">
        <w:rPr>
          <w:rFonts w:ascii="Times New Roman" w:hAnsi="Times New Roman"/>
          <w:szCs w:val="24"/>
        </w:rPr>
        <w:t>zmienianemu przepisowi</w:t>
      </w:r>
      <w:r w:rsidRPr="00032498">
        <w:rPr>
          <w:rFonts w:ascii="Times New Roman" w:hAnsi="Times New Roman"/>
          <w:szCs w:val="24"/>
        </w:rPr>
        <w:t xml:space="preserve"> nadana została wsteczna moc obowiązująca.</w:t>
      </w:r>
    </w:p>
    <w:p w:rsidR="001C4CB8" w:rsidRPr="00691C98" w:rsidRDefault="001C4CB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Funduszu Gwarantowanych Świadczeń Pracowniczych:</w:t>
      </w:r>
    </w:p>
    <w:p w:rsidR="007C6287" w:rsidRPr="00691C98" w:rsidRDefault="007C6287" w:rsidP="00691C98">
      <w:pPr>
        <w:autoSpaceDE w:val="0"/>
        <w:autoSpaceDN w:val="0"/>
        <w:adjustRightInd w:val="0"/>
        <w:spacing w:after="120" w:line="360" w:lineRule="auto"/>
        <w:jc w:val="both"/>
        <w:rPr>
          <w:rFonts w:ascii="Times New Roman" w:hAnsi="Times New Roman"/>
        </w:rPr>
      </w:pPr>
      <w:r w:rsidRPr="00691C98">
        <w:rPr>
          <w:rFonts w:ascii="Times New Roman" w:hAnsi="Times New Roman"/>
        </w:rPr>
        <w:lastRenderedPageBreak/>
        <w:t xml:space="preserve">Celem </w:t>
      </w:r>
      <w:r w:rsidR="0012483E">
        <w:rPr>
          <w:rFonts w:ascii="Times New Roman" w:hAnsi="Times New Roman"/>
        </w:rPr>
        <w:t>tej regulacji</w:t>
      </w:r>
      <w:r w:rsidRPr="00691C98">
        <w:rPr>
          <w:rFonts w:ascii="Times New Roman" w:hAnsi="Times New Roman"/>
        </w:rPr>
        <w:t xml:space="preserve"> j</w:t>
      </w:r>
      <w:r w:rsidR="0012483E">
        <w:rPr>
          <w:rFonts w:ascii="Times New Roman" w:hAnsi="Times New Roman"/>
        </w:rPr>
        <w:t>est przeciwdziałanie bezrobociu</w:t>
      </w:r>
      <w:r w:rsidRPr="00691C98">
        <w:rPr>
          <w:rFonts w:ascii="Times New Roman" w:hAnsi="Times New Roman"/>
        </w:rPr>
        <w:t xml:space="preserve"> poprzez ochronę istniejących miejsc pracy. Proponuje się </w:t>
      </w:r>
      <w:r w:rsidR="0012483E">
        <w:rPr>
          <w:rFonts w:ascii="Times New Roman" w:hAnsi="Times New Roman"/>
        </w:rPr>
        <w:t>przepisy</w:t>
      </w:r>
      <w:r w:rsidRPr="00691C98">
        <w:rPr>
          <w:rFonts w:ascii="Times New Roman" w:hAnsi="Times New Roman"/>
        </w:rPr>
        <w:t xml:space="preserve"> </w:t>
      </w:r>
      <w:r w:rsidR="0012483E">
        <w:rPr>
          <w:rFonts w:ascii="Times New Roman" w:hAnsi="Times New Roman"/>
        </w:rPr>
        <w:t>umożliwiające</w:t>
      </w:r>
      <w:r w:rsidRPr="00691C98">
        <w:rPr>
          <w:rFonts w:ascii="Times New Roman" w:hAnsi="Times New Roman"/>
        </w:rPr>
        <w:t xml:space="preserve"> zastosowanie instrumentów pozwalających na wsparcie przedsiębiorcy będącego pracodawcą ze środków</w:t>
      </w:r>
      <w:r w:rsidR="00575278">
        <w:rPr>
          <w:rFonts w:ascii="Times New Roman" w:hAnsi="Times New Roman"/>
        </w:rPr>
        <w:t xml:space="preserve"> Funduszu Gwarantowanych Świadczeń Pracowniczych</w:t>
      </w:r>
      <w:r w:rsidRPr="00691C98">
        <w:rPr>
          <w:rFonts w:ascii="Times New Roman" w:hAnsi="Times New Roman"/>
        </w:rPr>
        <w:t xml:space="preserve"> </w:t>
      </w:r>
      <w:r w:rsidR="00575278">
        <w:rPr>
          <w:rFonts w:ascii="Times New Roman" w:hAnsi="Times New Roman"/>
        </w:rPr>
        <w:t>(</w:t>
      </w:r>
      <w:r w:rsidRPr="00691C98">
        <w:rPr>
          <w:rFonts w:ascii="Times New Roman" w:hAnsi="Times New Roman"/>
        </w:rPr>
        <w:t>FGŚP</w:t>
      </w:r>
      <w:r w:rsidR="00575278">
        <w:rPr>
          <w:rFonts w:ascii="Times New Roman" w:hAnsi="Times New Roman"/>
        </w:rPr>
        <w:t>)</w:t>
      </w:r>
      <w:r w:rsidRPr="00691C98">
        <w:rPr>
          <w:rFonts w:ascii="Times New Roman" w:hAnsi="Times New Roman"/>
        </w:rPr>
        <w:t>, w okresie wprowadzonego przez pracodawcę przestoju ekonomicznego lub obniżonego wymiaru czasu pracy, w przypadku wystąpienia</w:t>
      </w:r>
      <w:r w:rsidR="00575278">
        <w:rPr>
          <w:rFonts w:ascii="Times New Roman" w:hAnsi="Times New Roman"/>
        </w:rPr>
        <w:t xml:space="preserve"> spadku obrotów gospodarczych w </w:t>
      </w:r>
      <w:r w:rsidRPr="00691C98">
        <w:rPr>
          <w:rFonts w:ascii="Times New Roman" w:hAnsi="Times New Roman"/>
        </w:rPr>
        <w:t>n</w:t>
      </w:r>
      <w:r w:rsidR="0012483E">
        <w:rPr>
          <w:rFonts w:ascii="Times New Roman" w:hAnsi="Times New Roman"/>
        </w:rPr>
        <w:t>astępstwie wystąpienia COVID-19.</w:t>
      </w:r>
      <w:r w:rsidRPr="00691C98">
        <w:rPr>
          <w:rFonts w:ascii="Times New Roman" w:hAnsi="Times New Roman"/>
        </w:rPr>
        <w:t xml:space="preserve"> </w:t>
      </w:r>
      <w:r w:rsidR="0012483E">
        <w:rPr>
          <w:rFonts w:ascii="Times New Roman" w:hAnsi="Times New Roman"/>
        </w:rPr>
        <w:t>S</w:t>
      </w:r>
      <w:r w:rsidR="004B35F8">
        <w:rPr>
          <w:rFonts w:ascii="Times New Roman" w:hAnsi="Times New Roman"/>
        </w:rPr>
        <w:t>padki te dotyczą</w:t>
      </w:r>
      <w:r w:rsidRPr="00691C98">
        <w:rPr>
          <w:rFonts w:ascii="Times New Roman" w:hAnsi="Times New Roman"/>
        </w:rPr>
        <w:t xml:space="preserve"> sprzedaż</w:t>
      </w:r>
      <w:r w:rsidR="004B35F8">
        <w:rPr>
          <w:rFonts w:ascii="Times New Roman" w:hAnsi="Times New Roman"/>
        </w:rPr>
        <w:t>y</w:t>
      </w:r>
      <w:r w:rsidRPr="00691C98">
        <w:rPr>
          <w:rFonts w:ascii="Times New Roman" w:hAnsi="Times New Roman"/>
        </w:rPr>
        <w:t xml:space="preserve"> towarów lub usług, w</w:t>
      </w:r>
      <w:r w:rsidR="00575278">
        <w:rPr>
          <w:rFonts w:ascii="Times New Roman" w:hAnsi="Times New Roman"/>
        </w:rPr>
        <w:t xml:space="preserve"> </w:t>
      </w:r>
      <w:r w:rsidRPr="00691C98">
        <w:rPr>
          <w:rFonts w:ascii="Times New Roman" w:hAnsi="Times New Roman"/>
        </w:rPr>
        <w:t>ujęciu ilościowym lub wa</w:t>
      </w:r>
      <w:r w:rsidR="004B35F8">
        <w:rPr>
          <w:rFonts w:ascii="Times New Roman" w:hAnsi="Times New Roman"/>
        </w:rPr>
        <w:t>rtościowym, nie mniej niż o 15%. Obliczane</w:t>
      </w:r>
      <w:r w:rsidRPr="00691C98">
        <w:rPr>
          <w:rFonts w:ascii="Times New Roman" w:hAnsi="Times New Roman"/>
        </w:rPr>
        <w:t xml:space="preserve"> </w:t>
      </w:r>
      <w:r w:rsidR="004B35F8">
        <w:rPr>
          <w:rFonts w:ascii="Times New Roman" w:hAnsi="Times New Roman"/>
        </w:rPr>
        <w:t xml:space="preserve">są one </w:t>
      </w:r>
      <w:r w:rsidRPr="00691C98">
        <w:rPr>
          <w:rFonts w:ascii="Times New Roman" w:hAnsi="Times New Roman"/>
        </w:rPr>
        <w:t>j</w:t>
      </w:r>
      <w:r w:rsidR="00575278">
        <w:rPr>
          <w:rFonts w:ascii="Times New Roman" w:hAnsi="Times New Roman"/>
        </w:rPr>
        <w:t>ako stosunek łącznych obrotów w </w:t>
      </w:r>
      <w:r w:rsidRPr="00691C98">
        <w:rPr>
          <w:rFonts w:ascii="Times New Roman" w:hAnsi="Times New Roman"/>
        </w:rPr>
        <w:t>ciągu 2 kolejnych miesięc</w:t>
      </w:r>
      <w:r w:rsidR="004B35F8">
        <w:rPr>
          <w:rFonts w:ascii="Times New Roman" w:hAnsi="Times New Roman"/>
        </w:rPr>
        <w:t>y w okresie od stycznia 2020 r.</w:t>
      </w:r>
      <w:r w:rsidRPr="00691C98">
        <w:rPr>
          <w:rFonts w:ascii="Times New Roman" w:hAnsi="Times New Roman"/>
        </w:rPr>
        <w:t xml:space="preserve"> do łącznych obrotów z</w:t>
      </w:r>
      <w:r w:rsidR="004B35F8">
        <w:rPr>
          <w:rFonts w:ascii="Times New Roman" w:hAnsi="Times New Roman"/>
        </w:rPr>
        <w:t> </w:t>
      </w:r>
      <w:r w:rsidR="00575278">
        <w:rPr>
          <w:rFonts w:ascii="Times New Roman" w:hAnsi="Times New Roman"/>
        </w:rPr>
        <w:t>analogicznych 2 </w:t>
      </w:r>
      <w:r w:rsidRPr="00691C98">
        <w:rPr>
          <w:rFonts w:ascii="Times New Roman" w:hAnsi="Times New Roman"/>
        </w:rPr>
        <w:t>miesięcy z roku ubiegłego. Okres dokumentowania obrotów w</w:t>
      </w:r>
      <w:r w:rsidR="00575278">
        <w:rPr>
          <w:rFonts w:ascii="Times New Roman" w:hAnsi="Times New Roman"/>
        </w:rPr>
        <w:t xml:space="preserve"> </w:t>
      </w:r>
      <w:r w:rsidRPr="00691C98">
        <w:rPr>
          <w:rFonts w:ascii="Times New Roman" w:hAnsi="Times New Roman"/>
        </w:rPr>
        <w:t>celu wykazania spadku ulega skróceniu do dwóch miesięcy zamiast obecnie obowiązujących sześciu.</w:t>
      </w:r>
    </w:p>
    <w:p w:rsidR="001C4CB8" w:rsidRPr="00691C98" w:rsidRDefault="007C6287" w:rsidP="00691C98">
      <w:pPr>
        <w:spacing w:after="120" w:line="360" w:lineRule="auto"/>
        <w:jc w:val="both"/>
        <w:rPr>
          <w:rFonts w:ascii="Times New Roman" w:hAnsi="Times New Roman"/>
        </w:rPr>
      </w:pPr>
      <w:r w:rsidRPr="00691C98">
        <w:rPr>
          <w:rFonts w:ascii="Times New Roman" w:hAnsi="Times New Roman"/>
        </w:rPr>
        <w:t xml:space="preserve">Poprzez świadczenia </w:t>
      </w:r>
      <w:r w:rsidR="004B35F8">
        <w:rPr>
          <w:rFonts w:ascii="Times New Roman" w:hAnsi="Times New Roman"/>
        </w:rPr>
        <w:t>przewidziane w tej regulacji</w:t>
      </w:r>
      <w:r w:rsidRPr="00691C98">
        <w:rPr>
          <w:rFonts w:ascii="Times New Roman" w:hAnsi="Times New Roman"/>
        </w:rPr>
        <w:t xml:space="preserve"> należy rozumieć świadczenia</w:t>
      </w:r>
      <w:r w:rsidR="00575278">
        <w:rPr>
          <w:rFonts w:ascii="Times New Roman" w:hAnsi="Times New Roman"/>
        </w:rPr>
        <w:t>,</w:t>
      </w:r>
      <w:r w:rsidRPr="00691C98">
        <w:rPr>
          <w:rFonts w:ascii="Times New Roman" w:hAnsi="Times New Roman"/>
        </w:rPr>
        <w:t xml:space="preserve"> o których mowa w</w:t>
      </w:r>
      <w:r w:rsidR="004B35F8">
        <w:rPr>
          <w:rFonts w:ascii="Times New Roman" w:hAnsi="Times New Roman"/>
        </w:rPr>
        <w:t> a</w:t>
      </w:r>
      <w:r w:rsidRPr="00691C98">
        <w:rPr>
          <w:rFonts w:ascii="Times New Roman" w:hAnsi="Times New Roman"/>
        </w:rPr>
        <w:t>rt. 5 ustawy o szczególnych rozwiązaniach związanych z ochroną miejsc pracy</w:t>
      </w:r>
      <w:r w:rsidR="004B35F8">
        <w:rPr>
          <w:rFonts w:ascii="Times New Roman" w:hAnsi="Times New Roman"/>
        </w:rPr>
        <w:t>,</w:t>
      </w:r>
      <w:r w:rsidRPr="00691C98">
        <w:rPr>
          <w:rFonts w:ascii="Times New Roman" w:hAnsi="Times New Roman"/>
        </w:rPr>
        <w:t xml:space="preserve"> tj. częściowe zaspokojenie wynagrodzenia za czas przestoju ekonomicznego do wysokości 100% zasiłku dla bezrobotnych oraz częściowe zrekompensowanie wynagrodzenia z tytułu obniżenia wymiaru czasu pracy, powiększone o</w:t>
      </w:r>
      <w:r w:rsidR="00575278">
        <w:rPr>
          <w:rFonts w:ascii="Times New Roman" w:hAnsi="Times New Roman"/>
        </w:rPr>
        <w:t xml:space="preserve"> </w:t>
      </w:r>
      <w:r w:rsidRPr="00691C98">
        <w:rPr>
          <w:rFonts w:ascii="Times New Roman" w:hAnsi="Times New Roman"/>
        </w:rPr>
        <w:t>składki na ubezpieczeni</w:t>
      </w:r>
      <w:r w:rsidR="004B35F8">
        <w:rPr>
          <w:rFonts w:ascii="Times New Roman" w:hAnsi="Times New Roman"/>
        </w:rPr>
        <w:t>a</w:t>
      </w:r>
      <w:r w:rsidRPr="00691C98">
        <w:rPr>
          <w:rFonts w:ascii="Times New Roman" w:hAnsi="Times New Roman"/>
        </w:rPr>
        <w:t xml:space="preserve"> społeczne pracowników należne od pracodawcy.</w:t>
      </w:r>
    </w:p>
    <w:p w:rsidR="0077363F" w:rsidRPr="00691C98" w:rsidRDefault="0077363F"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dotyczące zespołów ds. orzekania o niepełnosprawności:</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Przepis wprowadza szczególną regulację umożliwiającą osobom ubiegającym się o wydanie orzeczenia o niepełnosprawności, stopniu niepełnosprawności albo or</w:t>
      </w:r>
      <w:r w:rsidR="00C45DFF">
        <w:rPr>
          <w:rFonts w:ascii="Times New Roman" w:hAnsi="Times New Roman"/>
          <w:iCs/>
          <w:lang w:eastAsia="pl-PL"/>
        </w:rPr>
        <w:t>zeczenia o wskazaniach do ulg i </w:t>
      </w:r>
      <w:r w:rsidRPr="00691C98">
        <w:rPr>
          <w:rFonts w:ascii="Times New Roman" w:hAnsi="Times New Roman"/>
          <w:iCs/>
          <w:lang w:eastAsia="pl-PL"/>
        </w:rPr>
        <w:t>uprawnień uzyskanie orzeczenia bez konieczności osobistego stawiennictwa w</w:t>
      </w:r>
      <w:r w:rsidR="00C45DFF">
        <w:rPr>
          <w:rFonts w:ascii="Times New Roman" w:hAnsi="Times New Roman"/>
          <w:iCs/>
          <w:lang w:eastAsia="pl-PL"/>
        </w:rPr>
        <w:t xml:space="preserve"> </w:t>
      </w:r>
      <w:r w:rsidRPr="00691C98">
        <w:rPr>
          <w:rFonts w:ascii="Times New Roman" w:hAnsi="Times New Roman"/>
          <w:iCs/>
          <w:lang w:eastAsia="pl-PL"/>
        </w:rPr>
        <w:t>zespole do spraw orzekania o niepełnosprawności, w przypadku w którym dokumentacja, w tym medyczna załączona do wniosku o wydanie orzeczenia</w:t>
      </w:r>
      <w:r w:rsidR="00C45DFF">
        <w:rPr>
          <w:rFonts w:ascii="Times New Roman" w:hAnsi="Times New Roman"/>
          <w:iCs/>
          <w:lang w:eastAsia="pl-PL"/>
        </w:rPr>
        <w:t>,</w:t>
      </w:r>
      <w:r w:rsidRPr="00691C98">
        <w:rPr>
          <w:rFonts w:ascii="Times New Roman" w:hAnsi="Times New Roman"/>
          <w:iCs/>
          <w:lang w:eastAsia="pl-PL"/>
        </w:rPr>
        <w:t xml:space="preserve"> jest wystarczająca do sporządzenia oceny stanu zdrowia i zakresu ograniczeń wynikających z naruszonej sprawności organizmu osoby zainteresowanej lub dziecka.</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 xml:space="preserve">Wprowadzona regulacja zakłada wydłużenie terminu ważności orzeczeń o niepełnosprawność albo orzeczeń o stopniu niepełnosprawności, których termin ważności upływa w terminie </w:t>
      </w:r>
      <w:r w:rsidRPr="00691C98">
        <w:rPr>
          <w:rFonts w:ascii="Times New Roman" w:hAnsi="Times New Roman"/>
          <w:color w:val="000000"/>
        </w:rPr>
        <w:t>do 90 dni od dnia wejścia w życie ustawy. Normuje również sytuację osób, których wnioski o</w:t>
      </w:r>
      <w:r w:rsidR="00C45DFF">
        <w:rPr>
          <w:rFonts w:ascii="Times New Roman" w:hAnsi="Times New Roman"/>
          <w:color w:val="000000"/>
        </w:rPr>
        <w:t xml:space="preserve"> </w:t>
      </w:r>
      <w:r w:rsidRPr="00691C98">
        <w:rPr>
          <w:rFonts w:ascii="Times New Roman" w:hAnsi="Times New Roman"/>
          <w:color w:val="000000"/>
        </w:rPr>
        <w:t>wydanie orzeczeń zostały złożone i nie rozpoznane przed dniem wejścia w życie ustawy.</w:t>
      </w:r>
    </w:p>
    <w:p w:rsidR="0077363F" w:rsidRPr="00691C98" w:rsidRDefault="0077363F" w:rsidP="00414246">
      <w:pPr>
        <w:tabs>
          <w:tab w:val="left" w:pos="709"/>
          <w:tab w:val="left" w:pos="3261"/>
        </w:tabs>
        <w:spacing w:after="120" w:line="360" w:lineRule="auto"/>
        <w:jc w:val="both"/>
        <w:rPr>
          <w:rFonts w:ascii="Times New Roman" w:hAnsi="Times New Roman"/>
          <w:color w:val="000000"/>
          <w:lang w:eastAsia="pl-PL"/>
        </w:rPr>
      </w:pPr>
      <w:r w:rsidRPr="00691C98">
        <w:rPr>
          <w:rFonts w:ascii="Times New Roman" w:hAnsi="Times New Roman"/>
          <w:iCs/>
          <w:lang w:eastAsia="pl-PL"/>
        </w:rPr>
        <w:t>W przypadku w którym osoba wnioskująca o wydanie orzeczenia nie uzyska orzeczenia jako dokumentu potwierdzającego jej niepełnosprawność, traci prawo do wielu ulg, uprawień i</w:t>
      </w:r>
      <w:r w:rsidR="00C45DFF">
        <w:rPr>
          <w:rFonts w:ascii="Times New Roman" w:hAnsi="Times New Roman"/>
          <w:iCs/>
          <w:lang w:eastAsia="pl-PL"/>
        </w:rPr>
        <w:t xml:space="preserve"> </w:t>
      </w:r>
      <w:r w:rsidRPr="00691C98">
        <w:rPr>
          <w:rFonts w:ascii="Times New Roman" w:hAnsi="Times New Roman"/>
          <w:iCs/>
          <w:lang w:eastAsia="pl-PL"/>
        </w:rPr>
        <w:t xml:space="preserve">świadczeń pieniężnych, nie będzie mogła również korzystać z różnych form rehabilitacji. Przerwanie ciągłości procesu orzekania oraz znaczny okres oczekiwania na wydanie orzeczenia może wywołać wiele </w:t>
      </w:r>
      <w:r w:rsidRPr="00691C98">
        <w:rPr>
          <w:rFonts w:ascii="Times New Roman" w:eastAsia="Times New Roman" w:hAnsi="Times New Roman"/>
          <w:lang w:eastAsia="pl-PL"/>
        </w:rPr>
        <w:t>negatywnych skutków dla osób niepełnosprawnych jak i</w:t>
      </w:r>
      <w:r w:rsidR="00C45DFF">
        <w:rPr>
          <w:rFonts w:ascii="Times New Roman" w:eastAsia="Times New Roman" w:hAnsi="Times New Roman"/>
          <w:lang w:eastAsia="pl-PL"/>
        </w:rPr>
        <w:t xml:space="preserve"> </w:t>
      </w:r>
      <w:r w:rsidRPr="00691C98">
        <w:rPr>
          <w:rFonts w:ascii="Times New Roman" w:eastAsia="Times New Roman" w:hAnsi="Times New Roman"/>
          <w:lang w:eastAsia="pl-PL"/>
        </w:rPr>
        <w:t xml:space="preserve">pracodawców. W związku z powyższym oraz faktem, iż </w:t>
      </w:r>
      <w:r w:rsidRPr="00691C98">
        <w:rPr>
          <w:rFonts w:ascii="Times New Roman" w:hAnsi="Times New Roman"/>
          <w:lang w:eastAsia="pl-PL"/>
        </w:rPr>
        <w:t xml:space="preserve">osoby ubiegające się o wydanie orzeczenia to osoby z naruszoną sprawnością organizmu, pozostające pod stałą opieką lekarską, w większości starsze obciążone ryzykiem zachorowania na </w:t>
      </w:r>
      <w:r w:rsidRPr="00691C98">
        <w:rPr>
          <w:rFonts w:ascii="Times New Roman" w:hAnsi="Times New Roman"/>
          <w:color w:val="000000"/>
          <w:lang w:eastAsia="pl-PL"/>
        </w:rPr>
        <w:t>COVID-19</w:t>
      </w:r>
      <w:r w:rsidR="00C45DFF">
        <w:rPr>
          <w:rFonts w:ascii="Times New Roman" w:hAnsi="Times New Roman"/>
          <w:color w:val="000000"/>
          <w:lang w:eastAsia="pl-PL"/>
        </w:rPr>
        <w:t>,</w:t>
      </w:r>
      <w:r w:rsidRPr="00691C98">
        <w:rPr>
          <w:rFonts w:ascii="Times New Roman" w:hAnsi="Times New Roman"/>
          <w:color w:val="000000"/>
          <w:lang w:eastAsia="pl-PL"/>
        </w:rPr>
        <w:t xml:space="preserve"> </w:t>
      </w:r>
      <w:r w:rsidRPr="00691C98">
        <w:rPr>
          <w:rFonts w:ascii="Times New Roman" w:eastAsia="Times New Roman" w:hAnsi="Times New Roman"/>
          <w:lang w:eastAsia="pl-PL"/>
        </w:rPr>
        <w:t>niezbędne jest wprowadzenie szczególnej regulacji umoż</w:t>
      </w:r>
      <w:r w:rsidR="00C45DFF">
        <w:rPr>
          <w:rFonts w:ascii="Times New Roman" w:eastAsia="Times New Roman" w:hAnsi="Times New Roman"/>
          <w:lang w:eastAsia="pl-PL"/>
        </w:rPr>
        <w:t>liwiającej wydanie orzeczenia w </w:t>
      </w:r>
      <w:r w:rsidRPr="00691C98">
        <w:rPr>
          <w:rFonts w:ascii="Times New Roman" w:eastAsia="Times New Roman" w:hAnsi="Times New Roman"/>
          <w:lang w:eastAsia="pl-PL"/>
        </w:rPr>
        <w:t>trybie zaocznym.</w:t>
      </w:r>
    </w:p>
    <w:p w:rsidR="0077363F" w:rsidRPr="00691C98" w:rsidRDefault="0077363F" w:rsidP="00414246">
      <w:pPr>
        <w:spacing w:after="120" w:line="360" w:lineRule="auto"/>
        <w:ind w:right="-108"/>
        <w:jc w:val="both"/>
        <w:rPr>
          <w:rFonts w:ascii="Times New Roman" w:hAnsi="Times New Roman"/>
          <w:lang w:eastAsia="pl-PL"/>
        </w:rPr>
      </w:pPr>
      <w:r w:rsidRPr="00691C98">
        <w:rPr>
          <w:rFonts w:ascii="Times New Roman" w:hAnsi="Times New Roman"/>
          <w:lang w:eastAsia="pl-PL"/>
        </w:rPr>
        <w:lastRenderedPageBreak/>
        <w:t xml:space="preserve">Powiatowe zespoły do spraw orzekania o niepełnosprawności </w:t>
      </w:r>
      <w:r w:rsidR="00202507">
        <w:rPr>
          <w:rFonts w:ascii="Times New Roman" w:hAnsi="Times New Roman"/>
          <w:lang w:eastAsia="pl-PL"/>
        </w:rPr>
        <w:t>–</w:t>
      </w:r>
      <w:r w:rsidRPr="00691C98">
        <w:rPr>
          <w:rFonts w:ascii="Times New Roman" w:hAnsi="Times New Roman"/>
          <w:lang w:eastAsia="pl-PL"/>
        </w:rPr>
        <w:t xml:space="preserve"> jako</w:t>
      </w:r>
      <w:r w:rsidR="00202507">
        <w:rPr>
          <w:rFonts w:ascii="Times New Roman" w:hAnsi="Times New Roman"/>
          <w:lang w:eastAsia="pl-PL"/>
        </w:rPr>
        <w:t xml:space="preserve"> </w:t>
      </w:r>
      <w:r w:rsidRPr="00691C98">
        <w:rPr>
          <w:rFonts w:ascii="Times New Roman" w:hAnsi="Times New Roman"/>
          <w:lang w:eastAsia="pl-PL"/>
        </w:rPr>
        <w:t xml:space="preserve">pierwsza instancja oraz wojewódzkie zespoły do spraw orzekania o niepełnosprawności </w:t>
      </w:r>
      <w:r w:rsidR="00202507">
        <w:rPr>
          <w:rFonts w:ascii="Times New Roman" w:hAnsi="Times New Roman"/>
          <w:lang w:eastAsia="pl-PL"/>
        </w:rPr>
        <w:t>–</w:t>
      </w:r>
      <w:r w:rsidRPr="00691C98">
        <w:rPr>
          <w:rFonts w:ascii="Times New Roman" w:hAnsi="Times New Roman"/>
          <w:lang w:eastAsia="pl-PL"/>
        </w:rPr>
        <w:t xml:space="preserve"> jako</w:t>
      </w:r>
      <w:r w:rsidR="00202507">
        <w:rPr>
          <w:rFonts w:ascii="Times New Roman" w:hAnsi="Times New Roman"/>
          <w:lang w:eastAsia="pl-PL"/>
        </w:rPr>
        <w:t xml:space="preserve"> </w:t>
      </w:r>
      <w:r w:rsidRPr="00691C98">
        <w:rPr>
          <w:rFonts w:ascii="Times New Roman" w:hAnsi="Times New Roman"/>
          <w:lang w:eastAsia="pl-PL"/>
        </w:rPr>
        <w:t>druga instancja wydają orzeczenia o niepełnosprawności, stopniu niepełnosprawności oraz orzeczenia o wskazani</w:t>
      </w:r>
      <w:r w:rsidR="00202507">
        <w:rPr>
          <w:rFonts w:ascii="Times New Roman" w:hAnsi="Times New Roman"/>
          <w:lang w:eastAsia="pl-PL"/>
        </w:rPr>
        <w:t>ach do ulg i </w:t>
      </w:r>
      <w:r w:rsidRPr="00691C98">
        <w:rPr>
          <w:rFonts w:ascii="Times New Roman" w:hAnsi="Times New Roman"/>
          <w:lang w:eastAsia="pl-PL"/>
        </w:rPr>
        <w:t>uprawnień. Wydanie przez zespół do spraw orzekania o niepełnosprawności orzeczenia ustalającego niepełnosprawność albo stopnień niepełnosprawności oraz związanych z nim wskazań, następuje po przeprowadzeniu przez skład orzekający postępowani</w:t>
      </w:r>
      <w:r w:rsidR="00202507">
        <w:rPr>
          <w:rFonts w:ascii="Times New Roman" w:hAnsi="Times New Roman"/>
          <w:lang w:eastAsia="pl-PL"/>
        </w:rPr>
        <w:t>a</w:t>
      </w:r>
      <w:r w:rsidRPr="00691C98">
        <w:rPr>
          <w:rFonts w:ascii="Times New Roman" w:hAnsi="Times New Roman"/>
          <w:lang w:eastAsia="pl-PL"/>
        </w:rPr>
        <w:t xml:space="preserve"> obejmując</w:t>
      </w:r>
      <w:r w:rsidR="00436AC7">
        <w:rPr>
          <w:rFonts w:ascii="Times New Roman" w:hAnsi="Times New Roman"/>
          <w:lang w:eastAsia="pl-PL"/>
        </w:rPr>
        <w:t>ego</w:t>
      </w:r>
      <w:r w:rsidRPr="00691C98">
        <w:rPr>
          <w:rFonts w:ascii="Times New Roman" w:hAnsi="Times New Roman"/>
          <w:lang w:eastAsia="pl-PL"/>
        </w:rPr>
        <w:t xml:space="preserve"> badanie lekarskie oraz wywiad sporządzony przez co najmniej jednego specjalistę (spośród: psychologa, pedagoga, pracownika socjalnego albo doradcy zawodowego) co do zasady po osobistym s</w:t>
      </w:r>
      <w:r w:rsidR="00436AC7">
        <w:rPr>
          <w:rFonts w:ascii="Times New Roman" w:hAnsi="Times New Roman"/>
          <w:lang w:eastAsia="pl-PL"/>
        </w:rPr>
        <w:t>tawiennictwie osoby orzekanej w </w:t>
      </w:r>
      <w:r w:rsidRPr="00691C98">
        <w:rPr>
          <w:rFonts w:ascii="Times New Roman" w:hAnsi="Times New Roman"/>
          <w:lang w:eastAsia="pl-PL"/>
        </w:rPr>
        <w:t>zespole. Szacuje się, że organy orzecznicze wydają miesięcznie łącznie ok. 60 tys. orzeczeń potwierdzających niepełnosprawność.</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Orzeczenie o zaliczeniu osoby do osób niepełnosprawnych potwierdza samą niepełnosprawność, wskazuje również formy rehabilitacji zawodowej i społecznej z jakich osoba, która uzyskała status osoby niepełnosprawnej</w:t>
      </w:r>
      <w:r w:rsidR="00436AC7">
        <w:rPr>
          <w:rFonts w:ascii="Times New Roman" w:hAnsi="Times New Roman"/>
          <w:iCs/>
          <w:lang w:eastAsia="pl-PL"/>
        </w:rPr>
        <w:t>,</w:t>
      </w:r>
      <w:r w:rsidRPr="00691C98">
        <w:rPr>
          <w:rFonts w:ascii="Times New Roman" w:hAnsi="Times New Roman"/>
          <w:iCs/>
          <w:lang w:eastAsia="pl-PL"/>
        </w:rPr>
        <w:t xml:space="preserve"> może korzystać oraz warunkuje pra</w:t>
      </w:r>
      <w:r w:rsidR="00436AC7">
        <w:rPr>
          <w:rFonts w:ascii="Times New Roman" w:hAnsi="Times New Roman"/>
          <w:iCs/>
          <w:lang w:eastAsia="pl-PL"/>
        </w:rPr>
        <w:t>wo do korzystania z wielu ulg i </w:t>
      </w:r>
      <w:r w:rsidRPr="00691C98">
        <w:rPr>
          <w:rFonts w:ascii="Times New Roman" w:hAnsi="Times New Roman"/>
          <w:iCs/>
          <w:lang w:eastAsia="pl-PL"/>
        </w:rPr>
        <w:t>uprawnień przyznanych na podstawie odrębnych przepisów.</w:t>
      </w:r>
    </w:p>
    <w:p w:rsidR="0077363F" w:rsidRPr="00691C98" w:rsidRDefault="0077363F" w:rsidP="00414246">
      <w:pPr>
        <w:tabs>
          <w:tab w:val="left" w:pos="709"/>
          <w:tab w:val="left" w:pos="3261"/>
        </w:tabs>
        <w:spacing w:after="120" w:line="360" w:lineRule="auto"/>
        <w:jc w:val="both"/>
        <w:rPr>
          <w:rFonts w:ascii="Times New Roman" w:hAnsi="Times New Roman"/>
          <w:iCs/>
          <w:lang w:eastAsia="pl-PL"/>
        </w:rPr>
      </w:pPr>
      <w:r w:rsidRPr="00691C98">
        <w:rPr>
          <w:rFonts w:ascii="Times New Roman" w:hAnsi="Times New Roman"/>
          <w:iCs/>
          <w:lang w:eastAsia="pl-PL"/>
        </w:rPr>
        <w:t>Orzeczenie pozwala korzystać z szeregu form pomocy i uprawnień do których należą:</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w zakresie rehabilitacji zawodowej i zatrudnienia m.in.:</w:t>
      </w:r>
    </w:p>
    <w:p w:rsidR="0077363F" w:rsidRPr="00691C98" w:rsidRDefault="0077363F" w:rsidP="00EC324B">
      <w:pPr>
        <w:numPr>
          <w:ilvl w:val="0"/>
          <w:numId w:val="2"/>
        </w:numPr>
        <w:tabs>
          <w:tab w:val="left" w:pos="709"/>
          <w:tab w:val="left" w:pos="3261"/>
        </w:tabs>
        <w:spacing w:after="120" w:line="360" w:lineRule="auto"/>
        <w:ind w:hanging="294"/>
        <w:jc w:val="both"/>
        <w:rPr>
          <w:rFonts w:ascii="Times New Roman" w:hAnsi="Times New Roman"/>
          <w:iCs/>
          <w:lang w:eastAsia="pl-PL"/>
        </w:rPr>
      </w:pPr>
      <w:r w:rsidRPr="00691C98">
        <w:rPr>
          <w:rFonts w:ascii="Times New Roman" w:hAnsi="Times New Roman"/>
          <w:iCs/>
          <w:lang w:eastAsia="pl-PL"/>
        </w:rPr>
        <w:t>możliwość uzyskania odpowiedniego zatrudnienia (w tym w zakładach aktywności zawodowe</w:t>
      </w:r>
      <w:r w:rsidR="00414246">
        <w:rPr>
          <w:rFonts w:ascii="Times New Roman" w:hAnsi="Times New Roman"/>
          <w:iCs/>
          <w:lang w:eastAsia="pl-PL"/>
        </w:rPr>
        <w:t>j i </w:t>
      </w:r>
      <w:r w:rsidR="00DB4BBD" w:rsidRPr="00691C98">
        <w:rPr>
          <w:rFonts w:ascii="Times New Roman" w:hAnsi="Times New Roman"/>
          <w:iCs/>
          <w:lang w:eastAsia="pl-PL"/>
        </w:rPr>
        <w:t>zakładach pracy chronionej),</w:t>
      </w:r>
    </w:p>
    <w:p w:rsidR="0077363F" w:rsidRPr="00691C98" w:rsidRDefault="0077363F" w:rsidP="00EC324B">
      <w:pPr>
        <w:numPr>
          <w:ilvl w:val="0"/>
          <w:numId w:val="2"/>
        </w:numPr>
        <w:tabs>
          <w:tab w:val="left" w:pos="709"/>
          <w:tab w:val="left" w:pos="3261"/>
        </w:tabs>
        <w:spacing w:after="120" w:line="360" w:lineRule="auto"/>
        <w:ind w:hanging="294"/>
        <w:jc w:val="both"/>
        <w:rPr>
          <w:rFonts w:ascii="Times New Roman" w:hAnsi="Times New Roman"/>
          <w:iCs/>
          <w:lang w:eastAsia="pl-PL"/>
        </w:rPr>
      </w:pPr>
      <w:r w:rsidRPr="00691C98">
        <w:rPr>
          <w:rFonts w:ascii="Times New Roman" w:hAnsi="Times New Roman"/>
          <w:iCs/>
          <w:lang w:eastAsia="pl-PL"/>
        </w:rPr>
        <w:t>możliwość uczestnictwa w szkole</w:t>
      </w:r>
      <w:r w:rsidR="00DB4BBD" w:rsidRPr="00691C98">
        <w:rPr>
          <w:rFonts w:ascii="Times New Roman" w:hAnsi="Times New Roman"/>
          <w:iCs/>
          <w:lang w:eastAsia="pl-PL"/>
        </w:rPr>
        <w:t>niach (w tym specjalistycznych),</w:t>
      </w:r>
    </w:p>
    <w:p w:rsidR="0077363F" w:rsidRPr="00691C98" w:rsidRDefault="0077363F" w:rsidP="00EC324B">
      <w:pPr>
        <w:numPr>
          <w:ilvl w:val="0"/>
          <w:numId w:val="2"/>
        </w:numPr>
        <w:tabs>
          <w:tab w:val="left" w:pos="709"/>
          <w:tab w:val="left" w:pos="3261"/>
        </w:tabs>
        <w:spacing w:after="120" w:line="360" w:lineRule="auto"/>
        <w:ind w:hanging="294"/>
        <w:jc w:val="both"/>
        <w:rPr>
          <w:rFonts w:ascii="Times New Roman" w:hAnsi="Times New Roman"/>
          <w:iCs/>
          <w:lang w:eastAsia="pl-PL"/>
        </w:rPr>
      </w:pPr>
      <w:r w:rsidRPr="00691C98">
        <w:rPr>
          <w:rFonts w:ascii="Times New Roman" w:hAnsi="Times New Roman"/>
          <w:iCs/>
          <w:lang w:eastAsia="pl-PL"/>
        </w:rPr>
        <w:t>możliwość korzystania ze ściśle określonych przywilejów pracowniczych, tj. prawa do dodatkowego urlopu wypoczynkowego, dłuższej przerwy w pracy</w:t>
      </w:r>
      <w:r w:rsidR="00DB4BBD" w:rsidRPr="00691C98">
        <w:rPr>
          <w:rFonts w:ascii="Times New Roman" w:hAnsi="Times New Roman"/>
          <w:iCs/>
          <w:lang w:eastAsia="pl-PL"/>
        </w:rPr>
        <w:t>, krótszego wymiaru czasu pracy,</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w zakresie rehabilitacji społecznej m.in.:</w:t>
      </w:r>
    </w:p>
    <w:p w:rsidR="0077363F" w:rsidRPr="00691C98" w:rsidRDefault="0077363F" w:rsidP="00EC324B">
      <w:pPr>
        <w:numPr>
          <w:ilvl w:val="0"/>
          <w:numId w:val="3"/>
        </w:numPr>
        <w:tabs>
          <w:tab w:val="left" w:pos="709"/>
          <w:tab w:val="left" w:pos="3261"/>
        </w:tabs>
        <w:spacing w:after="120" w:line="360" w:lineRule="auto"/>
        <w:ind w:left="360" w:hanging="294"/>
        <w:jc w:val="both"/>
        <w:rPr>
          <w:rFonts w:ascii="Times New Roman" w:hAnsi="Times New Roman"/>
          <w:iCs/>
          <w:lang w:eastAsia="pl-PL"/>
        </w:rPr>
      </w:pPr>
      <w:r w:rsidRPr="00691C98">
        <w:rPr>
          <w:rFonts w:ascii="Times New Roman" w:hAnsi="Times New Roman"/>
          <w:iCs/>
          <w:lang w:eastAsia="pl-PL"/>
        </w:rPr>
        <w:t>możliwość uczestnictwa w terapii zajęciowej realizowanej w warsztatach terapii zajęciowej oraz możliwość uczestnictw</w:t>
      </w:r>
      <w:r w:rsidR="00DB4BBD" w:rsidRPr="00691C98">
        <w:rPr>
          <w:rFonts w:ascii="Times New Roman" w:hAnsi="Times New Roman"/>
          <w:iCs/>
          <w:lang w:eastAsia="pl-PL"/>
        </w:rPr>
        <w:t>a w turnusach rehabilitacyjnych,</w:t>
      </w:r>
    </w:p>
    <w:p w:rsidR="0077363F" w:rsidRPr="00691C98" w:rsidRDefault="0077363F" w:rsidP="00EC324B">
      <w:pPr>
        <w:numPr>
          <w:ilvl w:val="0"/>
          <w:numId w:val="3"/>
        </w:numPr>
        <w:tabs>
          <w:tab w:val="left" w:pos="709"/>
          <w:tab w:val="left" w:pos="3261"/>
        </w:tabs>
        <w:spacing w:after="120" w:line="360" w:lineRule="auto"/>
        <w:ind w:left="360" w:hanging="294"/>
        <w:jc w:val="both"/>
        <w:rPr>
          <w:rFonts w:ascii="Times New Roman" w:hAnsi="Times New Roman"/>
          <w:iCs/>
          <w:lang w:eastAsia="pl-PL"/>
        </w:rPr>
      </w:pPr>
      <w:r w:rsidRPr="00691C98">
        <w:rPr>
          <w:rFonts w:ascii="Times New Roman" w:hAnsi="Times New Roman"/>
          <w:iCs/>
          <w:lang w:eastAsia="pl-PL"/>
        </w:rPr>
        <w:t>dofinansowanie zaopatrzenia w przedmioty ortopedyczne, środki pomocnicze oraz pomoce techniczne, ułatwia</w:t>
      </w:r>
      <w:r w:rsidR="00DB4BBD" w:rsidRPr="00691C98">
        <w:rPr>
          <w:rFonts w:ascii="Times New Roman" w:hAnsi="Times New Roman"/>
          <w:iCs/>
          <w:lang w:eastAsia="pl-PL"/>
        </w:rPr>
        <w:t>jące funkcjonowanie danej osoby,</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ulgi w podatkach, zniżki w komunikacji, zwolnienia z opłat radiowo-telewizyjnych (abonament</w:t>
      </w:r>
      <w:r w:rsidR="00DB4BBD" w:rsidRPr="00691C98">
        <w:rPr>
          <w:rFonts w:ascii="Times New Roman" w:hAnsi="Times New Roman"/>
          <w:iCs/>
          <w:lang w:eastAsia="pl-PL"/>
        </w:rPr>
        <w:t>u),</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usługi socjalne, opiekuńcze, terapeutyczne i rehabilitacyjne świadczone przez instytucje pomocy społecznej, organizacje</w:t>
      </w:r>
      <w:r w:rsidR="00DB4BBD" w:rsidRPr="00691C98">
        <w:rPr>
          <w:rFonts w:ascii="Times New Roman" w:hAnsi="Times New Roman"/>
          <w:iCs/>
          <w:lang w:eastAsia="pl-PL"/>
        </w:rPr>
        <w:t xml:space="preserve"> pozarządowe oraz inne placówki,</w:t>
      </w:r>
    </w:p>
    <w:p w:rsidR="0077363F" w:rsidRPr="00691C98" w:rsidRDefault="0077363F" w:rsidP="00EC324B">
      <w:pPr>
        <w:numPr>
          <w:ilvl w:val="0"/>
          <w:numId w:val="4"/>
        </w:numPr>
        <w:tabs>
          <w:tab w:val="left" w:pos="709"/>
          <w:tab w:val="left" w:pos="3261"/>
        </w:tabs>
        <w:spacing w:after="120" w:line="360" w:lineRule="auto"/>
        <w:ind w:left="360"/>
        <w:jc w:val="both"/>
        <w:rPr>
          <w:rFonts w:ascii="Times New Roman" w:hAnsi="Times New Roman"/>
          <w:iCs/>
          <w:lang w:eastAsia="pl-PL"/>
        </w:rPr>
      </w:pPr>
      <w:r w:rsidRPr="00691C98">
        <w:rPr>
          <w:rFonts w:ascii="Times New Roman" w:hAnsi="Times New Roman"/>
          <w:iCs/>
          <w:lang w:eastAsia="pl-PL"/>
        </w:rPr>
        <w:t xml:space="preserve">uprawnienia do świadczeń rodzinnych: dodatków do </w:t>
      </w:r>
      <w:r w:rsidR="00436AC7">
        <w:rPr>
          <w:rFonts w:ascii="Times New Roman" w:hAnsi="Times New Roman"/>
          <w:iCs/>
          <w:lang w:eastAsia="pl-PL"/>
        </w:rPr>
        <w:t>zasiłku rodzinnego związanych z </w:t>
      </w:r>
      <w:r w:rsidRPr="00691C98">
        <w:rPr>
          <w:rFonts w:ascii="Times New Roman" w:hAnsi="Times New Roman"/>
          <w:iCs/>
          <w:lang w:eastAsia="pl-PL"/>
        </w:rPr>
        <w:t>niepełnosprawnością, świadczeń opiekuńczych, w tym świadczenie pielęgnacyjnego, zasiłku pielęgnacyjnego, sp</w:t>
      </w:r>
      <w:r w:rsidR="00DB4BBD" w:rsidRPr="00691C98">
        <w:rPr>
          <w:rFonts w:ascii="Times New Roman" w:hAnsi="Times New Roman"/>
          <w:iCs/>
          <w:lang w:eastAsia="pl-PL"/>
        </w:rPr>
        <w:t>ecjalnego zasiłku opiekuńczego,</w:t>
      </w:r>
    </w:p>
    <w:p w:rsidR="0077363F" w:rsidRPr="00691C98" w:rsidRDefault="0077363F" w:rsidP="00EC324B">
      <w:pPr>
        <w:numPr>
          <w:ilvl w:val="0"/>
          <w:numId w:val="4"/>
        </w:numPr>
        <w:tabs>
          <w:tab w:val="left" w:pos="709"/>
          <w:tab w:val="left" w:pos="3261"/>
        </w:tabs>
        <w:spacing w:after="120" w:line="360" w:lineRule="auto"/>
        <w:ind w:left="422" w:hanging="357"/>
        <w:jc w:val="both"/>
        <w:rPr>
          <w:rFonts w:ascii="Times New Roman" w:hAnsi="Times New Roman"/>
          <w:iCs/>
          <w:lang w:eastAsia="pl-PL"/>
        </w:rPr>
      </w:pPr>
      <w:r w:rsidRPr="00691C98">
        <w:rPr>
          <w:rFonts w:ascii="Times New Roman" w:hAnsi="Times New Roman"/>
          <w:iCs/>
          <w:lang w:eastAsia="pl-PL"/>
        </w:rPr>
        <w:lastRenderedPageBreak/>
        <w:t>uprawnienia do świadczeń z pomocy społecznej (m.in. zasiłek stały, zasiłek okresowy).</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Konieczność sprawnego</w:t>
      </w:r>
      <w:r w:rsidR="00436AC7">
        <w:rPr>
          <w:rFonts w:ascii="Times New Roman" w:hAnsi="Times New Roman"/>
          <w:color w:val="000000"/>
        </w:rPr>
        <w:t>,</w:t>
      </w:r>
      <w:r w:rsidRPr="00691C98">
        <w:rPr>
          <w:rFonts w:ascii="Times New Roman" w:hAnsi="Times New Roman"/>
          <w:color w:val="000000"/>
        </w:rPr>
        <w:t xml:space="preserve"> niezakłóconego orzekania o stopniu niepełnosprawności ma kluczowe znaczenie dla pracodawców zatrudniających osoby niepełnosprawne.</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Konsekwencją braku ważnego orzeczenia potwierdzającego niepełnosprawność będzie też niemożność uzyskiwania przez pracodawcę wsparcia w postaci miesięcznego dofinansowania do wynagrodzenia</w:t>
      </w:r>
      <w:r w:rsidR="00DB4BBD" w:rsidRPr="00691C98">
        <w:rPr>
          <w:rFonts w:ascii="Times New Roman" w:hAnsi="Times New Roman"/>
          <w:color w:val="000000"/>
        </w:rPr>
        <w:t xml:space="preserve"> pracowników niepełnosprawnych.</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Ponadto, posiadanie przez pracowników ważnego orzeczenia o stopniu niepełnosprawności jest niezwykle istotne dla pracodawców posiadających statusy zakładów pracy chronionej lub zakładów aktywności zawodowej. Uzyskanie decyzji w sprawie statusu jest uzależnione m.in. od osiągania określonych wskaźników zatrudnienia osób niepełnosprawnych. Pozbawienie pracodawców statusów zakładów pracy chronionej i zakładów aktywności zawodowej oznaczać będzie z kolei utratę uprawnień do ulg w podatkach i opłatach cywilno-prawnych.</w:t>
      </w:r>
    </w:p>
    <w:p w:rsidR="0077363F" w:rsidRPr="00691C98" w:rsidRDefault="0077363F" w:rsidP="00414246">
      <w:pPr>
        <w:autoSpaceDE w:val="0"/>
        <w:autoSpaceDN w:val="0"/>
        <w:adjustRightInd w:val="0"/>
        <w:spacing w:after="120" w:line="360" w:lineRule="auto"/>
        <w:jc w:val="both"/>
        <w:rPr>
          <w:rFonts w:ascii="Times New Roman" w:hAnsi="Times New Roman"/>
          <w:color w:val="000000"/>
        </w:rPr>
      </w:pPr>
      <w:r w:rsidRPr="00691C98">
        <w:rPr>
          <w:rFonts w:ascii="Times New Roman" w:hAnsi="Times New Roman"/>
          <w:color w:val="000000"/>
        </w:rPr>
        <w:t>Konieczność wykazywania określonych wskaźników zatrudnienia osób niepełnosprawnych jest istotna także dla pracodawców pobierających miesięczne dofinansowanie</w:t>
      </w:r>
      <w:r w:rsidR="00DB4BBD" w:rsidRPr="00691C98">
        <w:rPr>
          <w:rFonts w:ascii="Times New Roman" w:hAnsi="Times New Roman"/>
          <w:color w:val="000000"/>
        </w:rPr>
        <w:t xml:space="preserve"> </w:t>
      </w:r>
      <w:r w:rsidRPr="00691C98">
        <w:rPr>
          <w:rFonts w:ascii="Times New Roman" w:hAnsi="Times New Roman"/>
          <w:color w:val="000000"/>
        </w:rPr>
        <w:t>do wynagrodzenia – jeżeli pracodawca zatrudnia powyżej 25 pracowników w przeliczeniu na pełne etaty i nie osiąga wskaźnika zatrudnienia osób niepełnosprawnych w wysokości 6%, jest wyłączony od możliwości pobierania tej pomocy.</w:t>
      </w:r>
    </w:p>
    <w:p w:rsidR="0077363F" w:rsidRPr="00436AC7" w:rsidRDefault="0077363F" w:rsidP="00414246">
      <w:pPr>
        <w:spacing w:after="120" w:line="360" w:lineRule="auto"/>
        <w:jc w:val="both"/>
        <w:rPr>
          <w:rFonts w:ascii="Times New Roman" w:hAnsi="Times New Roman"/>
        </w:rPr>
      </w:pPr>
      <w:r w:rsidRPr="00691C98">
        <w:rPr>
          <w:rFonts w:ascii="Times New Roman" w:hAnsi="Times New Roman"/>
          <w:color w:val="000000"/>
        </w:rPr>
        <w:t xml:space="preserve">W przypadku płatników wpłat na Państwowy Fundusz Rehabilitacji Osób Niepełnoprawnych, brak ważnych orzeczeń potwierdzających niepełnosprawność pracowników oznaczać będzie albo powstanie obowiązku </w:t>
      </w:r>
      <w:r w:rsidR="00DB4BBD" w:rsidRPr="00691C98">
        <w:rPr>
          <w:rFonts w:ascii="Times New Roman" w:hAnsi="Times New Roman"/>
          <w:color w:val="000000"/>
        </w:rPr>
        <w:t xml:space="preserve">dokonania </w:t>
      </w:r>
      <w:r w:rsidRPr="00691C98">
        <w:rPr>
          <w:rFonts w:ascii="Times New Roman" w:hAnsi="Times New Roman"/>
          <w:color w:val="000000"/>
        </w:rPr>
        <w:t xml:space="preserve">wpłat lub </w:t>
      </w:r>
      <w:r w:rsidR="00DB4BBD" w:rsidRPr="00691C98">
        <w:rPr>
          <w:rFonts w:ascii="Times New Roman" w:hAnsi="Times New Roman"/>
          <w:color w:val="000000"/>
        </w:rPr>
        <w:t xml:space="preserve">zwiększenia kwot </w:t>
      </w:r>
      <w:r w:rsidRPr="00691C98">
        <w:rPr>
          <w:rFonts w:ascii="Times New Roman" w:hAnsi="Times New Roman"/>
          <w:color w:val="000000"/>
        </w:rPr>
        <w:t>tych wpłat.</w:t>
      </w:r>
    </w:p>
    <w:p w:rsidR="0077363F" w:rsidRDefault="00DB4BBD" w:rsidP="00414246">
      <w:pPr>
        <w:spacing w:after="120" w:line="360" w:lineRule="auto"/>
        <w:jc w:val="both"/>
        <w:rPr>
          <w:rFonts w:ascii="Times New Roman" w:eastAsia="Times New Roman" w:hAnsi="Times New Roman"/>
        </w:rPr>
      </w:pPr>
      <w:r w:rsidRPr="00691C98">
        <w:rPr>
          <w:rFonts w:ascii="Times New Roman" w:eastAsia="Times New Roman" w:hAnsi="Times New Roman"/>
        </w:rPr>
        <w:t>Osobom będącym</w:t>
      </w:r>
      <w:r w:rsidR="0077363F" w:rsidRPr="00691C98">
        <w:rPr>
          <w:rFonts w:ascii="Times New Roman" w:eastAsia="Times New Roman" w:hAnsi="Times New Roman"/>
        </w:rPr>
        <w:t xml:space="preserve"> uczestnikami programów aktywizacji społecznej i zawodowej finansowanych ze środków PFRON na podstawie art. 36 i art. 47 ustawy o rehabilitacji zawodowej i społecznej oraz zatrudnianiu osób niepełnosprawnych lub ze środków E</w:t>
      </w:r>
      <w:r w:rsidR="00436AC7">
        <w:rPr>
          <w:rFonts w:ascii="Times New Roman" w:eastAsia="Times New Roman" w:hAnsi="Times New Roman"/>
        </w:rPr>
        <w:t>uropejskiego Funduszu Społecznego</w:t>
      </w:r>
      <w:r w:rsidR="0077363F" w:rsidRPr="00691C98">
        <w:rPr>
          <w:rFonts w:ascii="Times New Roman" w:eastAsia="Times New Roman" w:hAnsi="Times New Roman"/>
        </w:rPr>
        <w:t xml:space="preserve"> w</w:t>
      </w:r>
      <w:r w:rsidR="00436AC7">
        <w:rPr>
          <w:rFonts w:ascii="Times New Roman" w:eastAsia="Times New Roman" w:hAnsi="Times New Roman"/>
        </w:rPr>
        <w:t xml:space="preserve"> </w:t>
      </w:r>
      <w:r w:rsidR="0077363F" w:rsidRPr="00691C98">
        <w:rPr>
          <w:rFonts w:ascii="Times New Roman" w:eastAsia="Times New Roman" w:hAnsi="Times New Roman"/>
        </w:rPr>
        <w:t>ramach RPO oraz PO WER</w:t>
      </w:r>
      <w:r w:rsidRPr="00691C98">
        <w:rPr>
          <w:rFonts w:ascii="Times New Roman" w:eastAsia="Times New Roman" w:hAnsi="Times New Roman"/>
        </w:rPr>
        <w:t>, które</w:t>
      </w:r>
      <w:r w:rsidR="0077363F" w:rsidRPr="00691C98">
        <w:rPr>
          <w:rFonts w:ascii="Times New Roman" w:eastAsia="Times New Roman" w:hAnsi="Times New Roman"/>
        </w:rPr>
        <w:t xml:space="preserve"> wystąpiły o wydanie kolejnego orzeczenia,</w:t>
      </w:r>
      <w:r w:rsidRPr="00691C98">
        <w:rPr>
          <w:rFonts w:ascii="Times New Roman" w:eastAsia="Times New Roman" w:hAnsi="Times New Roman"/>
        </w:rPr>
        <w:t xml:space="preserve"> grożą istotne ryzyka. Odroczenie w czasie</w:t>
      </w:r>
      <w:r w:rsidR="0077363F" w:rsidRPr="00691C98">
        <w:rPr>
          <w:rFonts w:ascii="Times New Roman" w:eastAsia="Times New Roman" w:hAnsi="Times New Roman"/>
        </w:rPr>
        <w:t xml:space="preserve"> możliwości uzyskania decyzji </w:t>
      </w:r>
      <w:r w:rsidRPr="00691C98">
        <w:rPr>
          <w:rFonts w:ascii="Times New Roman" w:eastAsia="Times New Roman" w:hAnsi="Times New Roman"/>
        </w:rPr>
        <w:t>wobec tych osób oznacza utratę przez nie</w:t>
      </w:r>
      <w:r w:rsidR="0077363F" w:rsidRPr="00691C98">
        <w:rPr>
          <w:rFonts w:ascii="Times New Roman" w:eastAsia="Times New Roman" w:hAnsi="Times New Roman"/>
        </w:rPr>
        <w:t xml:space="preserve"> statusu beneficjenta programu. Dla realizatorów projektów, którymi w znaczącej większości są organizacje pozarządowe, sytuacja taka </w:t>
      </w:r>
      <w:r w:rsidRPr="00691C98">
        <w:rPr>
          <w:rFonts w:ascii="Times New Roman" w:eastAsia="Times New Roman" w:hAnsi="Times New Roman"/>
        </w:rPr>
        <w:t>powoduje</w:t>
      </w:r>
      <w:r w:rsidR="0077363F" w:rsidRPr="00691C98">
        <w:rPr>
          <w:rFonts w:ascii="Times New Roman" w:eastAsia="Times New Roman" w:hAnsi="Times New Roman"/>
        </w:rPr>
        <w:t xml:space="preserve"> konieczność zwrotów środków przeznaczonych na wsparcie osoby, która nie uzyskała </w:t>
      </w:r>
      <w:r w:rsidRPr="00691C98">
        <w:rPr>
          <w:rFonts w:ascii="Times New Roman" w:eastAsia="Times New Roman" w:hAnsi="Times New Roman"/>
        </w:rPr>
        <w:t>kolejnego orzeczenia w</w:t>
      </w:r>
      <w:r w:rsidR="00436AC7">
        <w:rPr>
          <w:rFonts w:ascii="Times New Roman" w:eastAsia="Times New Roman" w:hAnsi="Times New Roman"/>
        </w:rPr>
        <w:t xml:space="preserve"> </w:t>
      </w:r>
      <w:r w:rsidR="0077363F" w:rsidRPr="00691C98">
        <w:rPr>
          <w:rFonts w:ascii="Times New Roman" w:eastAsia="Times New Roman" w:hAnsi="Times New Roman"/>
        </w:rPr>
        <w:t>okresie realizacji projektu, uznanych za wydatek niekwalifikowalny.</w:t>
      </w:r>
    </w:p>
    <w:p w:rsidR="00455F47" w:rsidRPr="00455F47" w:rsidRDefault="00455F47" w:rsidP="00414246">
      <w:pPr>
        <w:spacing w:after="0" w:line="360" w:lineRule="auto"/>
        <w:jc w:val="both"/>
        <w:rPr>
          <w:rFonts w:ascii="Times New Roman" w:hAnsi="Times New Roman"/>
          <w:sz w:val="24"/>
          <w:szCs w:val="24"/>
        </w:rPr>
      </w:pPr>
      <w:r>
        <w:rPr>
          <w:rFonts w:ascii="Times New Roman" w:hAnsi="Times New Roman"/>
          <w:sz w:val="24"/>
          <w:szCs w:val="24"/>
        </w:rPr>
        <w:t>Jed</w:t>
      </w:r>
      <w:r w:rsidRPr="00C2117E">
        <w:rPr>
          <w:rFonts w:ascii="Times New Roman" w:hAnsi="Times New Roman"/>
          <w:sz w:val="24"/>
          <w:szCs w:val="24"/>
        </w:rPr>
        <w:t>nym</w:t>
      </w:r>
      <w:r>
        <w:rPr>
          <w:rFonts w:ascii="Times New Roman" w:hAnsi="Times New Roman"/>
          <w:sz w:val="24"/>
          <w:szCs w:val="24"/>
        </w:rPr>
        <w:t xml:space="preserve"> z powodów</w:t>
      </w:r>
      <w:r w:rsidRPr="00C2117E">
        <w:rPr>
          <w:rFonts w:ascii="Times New Roman" w:hAnsi="Times New Roman"/>
          <w:sz w:val="24"/>
          <w:szCs w:val="24"/>
        </w:rPr>
        <w:t xml:space="preserve"> udzielenia wsparcia z zakresu pomocy społecznej jest niepełnosprawność (art. 7 pkt 5 ustawy o pomocy społecznej). Jednocześnie na gruncie ustawy o pomocy społecznej legitymowanie się znacznym lub umiarkowanym stopniem niepełnosprawności w rozumieniu przepisów o rehabilitacji zawodowej i społecznej oraz zatrudnianiu osób niepełnosprawnych uznawane jest za całkowitą niezdolność to pracy, która poza </w:t>
      </w:r>
      <w:r w:rsidRPr="00C2117E">
        <w:rPr>
          <w:rFonts w:ascii="Times New Roman" w:hAnsi="Times New Roman"/>
          <w:sz w:val="24"/>
          <w:szCs w:val="24"/>
        </w:rPr>
        <w:lastRenderedPageBreak/>
        <w:t xml:space="preserve">koniecznością spełniania określonego kryterium dochodowego, </w:t>
      </w:r>
      <w:r>
        <w:rPr>
          <w:rFonts w:ascii="Times New Roman" w:hAnsi="Times New Roman"/>
          <w:sz w:val="24"/>
          <w:szCs w:val="24"/>
        </w:rPr>
        <w:t xml:space="preserve">jest </w:t>
      </w:r>
      <w:r w:rsidRPr="00C2117E">
        <w:rPr>
          <w:rFonts w:ascii="Times New Roman" w:hAnsi="Times New Roman"/>
          <w:sz w:val="24"/>
          <w:szCs w:val="24"/>
        </w:rPr>
        <w:t>przesłanką do przyznania zasiłku</w:t>
      </w:r>
      <w:r>
        <w:rPr>
          <w:rFonts w:ascii="Times New Roman" w:hAnsi="Times New Roman"/>
          <w:sz w:val="24"/>
          <w:szCs w:val="24"/>
        </w:rPr>
        <w:t xml:space="preserve"> stałego. Zgodnie z </w:t>
      </w:r>
      <w:r w:rsidRPr="00C2117E">
        <w:rPr>
          <w:rFonts w:ascii="Times New Roman" w:hAnsi="Times New Roman"/>
          <w:sz w:val="24"/>
          <w:szCs w:val="24"/>
        </w:rPr>
        <w:t>praktyką</w:t>
      </w:r>
      <w:r>
        <w:rPr>
          <w:rFonts w:ascii="Times New Roman" w:hAnsi="Times New Roman"/>
          <w:sz w:val="24"/>
          <w:szCs w:val="24"/>
        </w:rPr>
        <w:t xml:space="preserve"> ośrodków pomocy społecznej, świadczenia z </w:t>
      </w:r>
      <w:r w:rsidRPr="00C2117E">
        <w:rPr>
          <w:rFonts w:ascii="Times New Roman" w:hAnsi="Times New Roman"/>
          <w:sz w:val="24"/>
          <w:szCs w:val="24"/>
        </w:rPr>
        <w:t xml:space="preserve">pomocy społecznej </w:t>
      </w:r>
      <w:r>
        <w:rPr>
          <w:rFonts w:ascii="Times New Roman" w:hAnsi="Times New Roman"/>
          <w:sz w:val="24"/>
          <w:szCs w:val="24"/>
        </w:rPr>
        <w:t>(w tym</w:t>
      </w:r>
      <w:r w:rsidRPr="00C2117E">
        <w:rPr>
          <w:rFonts w:ascii="Times New Roman" w:hAnsi="Times New Roman"/>
          <w:sz w:val="24"/>
          <w:szCs w:val="24"/>
        </w:rPr>
        <w:t xml:space="preserve"> prawo do zasiłku stałego</w:t>
      </w:r>
      <w:r>
        <w:rPr>
          <w:rFonts w:ascii="Times New Roman" w:hAnsi="Times New Roman"/>
          <w:sz w:val="24"/>
          <w:szCs w:val="24"/>
        </w:rPr>
        <w:t>)</w:t>
      </w:r>
      <w:r w:rsidRPr="00C2117E">
        <w:rPr>
          <w:rFonts w:ascii="Times New Roman" w:hAnsi="Times New Roman"/>
          <w:sz w:val="24"/>
          <w:szCs w:val="24"/>
        </w:rPr>
        <w:t xml:space="preserve"> jest uwarunkowane terminem ważności orzeczenia o znacznym</w:t>
      </w:r>
      <w:r>
        <w:rPr>
          <w:rFonts w:ascii="Times New Roman" w:hAnsi="Times New Roman"/>
          <w:sz w:val="24"/>
          <w:szCs w:val="24"/>
        </w:rPr>
        <w:t>,</w:t>
      </w:r>
      <w:r w:rsidRPr="00C2117E">
        <w:rPr>
          <w:rFonts w:ascii="Times New Roman" w:hAnsi="Times New Roman"/>
          <w:sz w:val="24"/>
          <w:szCs w:val="24"/>
        </w:rPr>
        <w:t xml:space="preserve"> czy umiarkowanym stop</w:t>
      </w:r>
      <w:r>
        <w:rPr>
          <w:rFonts w:ascii="Times New Roman" w:hAnsi="Times New Roman"/>
          <w:sz w:val="24"/>
          <w:szCs w:val="24"/>
        </w:rPr>
        <w:t xml:space="preserve">niu niepełnosprawności. Jeśli </w:t>
      </w:r>
      <w:r w:rsidRPr="00C2117E">
        <w:rPr>
          <w:rFonts w:ascii="Times New Roman" w:hAnsi="Times New Roman"/>
          <w:sz w:val="24"/>
          <w:szCs w:val="24"/>
        </w:rPr>
        <w:t>w</w:t>
      </w:r>
      <w:r>
        <w:rPr>
          <w:rFonts w:ascii="Times New Roman" w:hAnsi="Times New Roman"/>
          <w:sz w:val="24"/>
          <w:szCs w:val="24"/>
        </w:rPr>
        <w:t> </w:t>
      </w:r>
      <w:r w:rsidRPr="00C2117E">
        <w:rPr>
          <w:rFonts w:ascii="Times New Roman" w:hAnsi="Times New Roman"/>
          <w:sz w:val="24"/>
          <w:szCs w:val="24"/>
        </w:rPr>
        <w:t>związku z działaniami mającymi na</w:t>
      </w:r>
      <w:r>
        <w:rPr>
          <w:rFonts w:ascii="Times New Roman" w:hAnsi="Times New Roman"/>
          <w:sz w:val="24"/>
          <w:szCs w:val="24"/>
        </w:rPr>
        <w:t xml:space="preserve"> celu przeciwdziałanie COVID-19</w:t>
      </w:r>
      <w:r w:rsidRPr="00C2117E">
        <w:rPr>
          <w:rFonts w:ascii="Times New Roman" w:hAnsi="Times New Roman"/>
          <w:sz w:val="24"/>
          <w:szCs w:val="24"/>
        </w:rPr>
        <w:t xml:space="preserve"> zostały wprowadzone przepisy mające na celu przedłużenie czasowe ważności </w:t>
      </w:r>
      <w:r>
        <w:rPr>
          <w:rFonts w:ascii="Times New Roman" w:hAnsi="Times New Roman"/>
          <w:sz w:val="24"/>
          <w:szCs w:val="24"/>
        </w:rPr>
        <w:t xml:space="preserve">powyżej wskazanych </w:t>
      </w:r>
      <w:r w:rsidRPr="00C2117E">
        <w:rPr>
          <w:rFonts w:ascii="Times New Roman" w:hAnsi="Times New Roman"/>
          <w:sz w:val="24"/>
          <w:szCs w:val="24"/>
        </w:rPr>
        <w:t xml:space="preserve">orzeczeń, niezbędnym wydaje się </w:t>
      </w:r>
      <w:r>
        <w:rPr>
          <w:rFonts w:ascii="Times New Roman" w:hAnsi="Times New Roman"/>
          <w:sz w:val="24"/>
          <w:szCs w:val="24"/>
        </w:rPr>
        <w:t xml:space="preserve">także </w:t>
      </w:r>
      <w:r w:rsidRPr="00C2117E">
        <w:rPr>
          <w:rFonts w:ascii="Times New Roman" w:hAnsi="Times New Roman"/>
          <w:sz w:val="24"/>
          <w:szCs w:val="24"/>
        </w:rPr>
        <w:t xml:space="preserve">wprowadzenie regulacji </w:t>
      </w:r>
      <w:r>
        <w:rPr>
          <w:rFonts w:ascii="Times New Roman" w:hAnsi="Times New Roman"/>
          <w:sz w:val="24"/>
          <w:szCs w:val="24"/>
        </w:rPr>
        <w:t>wprost wskazujących sposób postępowania ze świadczeniami przyznanymi z pomocy społecznej w związku z tymi orzeczeniami o niepełnosprawności. Proponuje się, aby w takim przypadku była wydawana decyzja zmieniająca bez konieczności prze</w:t>
      </w:r>
      <w:r w:rsidRPr="00C2117E">
        <w:rPr>
          <w:rFonts w:ascii="Times New Roman" w:hAnsi="Times New Roman"/>
          <w:sz w:val="24"/>
          <w:szCs w:val="24"/>
        </w:rPr>
        <w:t xml:space="preserve">prowadzenia </w:t>
      </w:r>
      <w:r>
        <w:rPr>
          <w:rFonts w:ascii="Times New Roman" w:hAnsi="Times New Roman"/>
          <w:sz w:val="24"/>
          <w:szCs w:val="24"/>
        </w:rPr>
        <w:t>rodzinnego wywiadu środowiskowego lub jego aktualizacji</w:t>
      </w:r>
      <w:r w:rsidRPr="00C2117E">
        <w:rPr>
          <w:rFonts w:ascii="Times New Roman" w:hAnsi="Times New Roman"/>
          <w:sz w:val="24"/>
          <w:szCs w:val="24"/>
        </w:rPr>
        <w:t>. Przedłużenie czasu</w:t>
      </w:r>
      <w:r>
        <w:rPr>
          <w:rFonts w:ascii="Times New Roman" w:hAnsi="Times New Roman"/>
          <w:sz w:val="24"/>
          <w:szCs w:val="24"/>
        </w:rPr>
        <w:t>,</w:t>
      </w:r>
      <w:r w:rsidRPr="00C2117E">
        <w:rPr>
          <w:rFonts w:ascii="Times New Roman" w:hAnsi="Times New Roman"/>
          <w:sz w:val="24"/>
          <w:szCs w:val="24"/>
        </w:rPr>
        <w:t xml:space="preserve"> na który została przyznana pomoc</w:t>
      </w:r>
      <w:r>
        <w:rPr>
          <w:rFonts w:ascii="Times New Roman" w:hAnsi="Times New Roman"/>
          <w:sz w:val="24"/>
          <w:szCs w:val="24"/>
        </w:rPr>
        <w:t>,</w:t>
      </w:r>
      <w:r w:rsidRPr="00C2117E">
        <w:rPr>
          <w:rFonts w:ascii="Times New Roman" w:hAnsi="Times New Roman"/>
          <w:sz w:val="24"/>
          <w:szCs w:val="24"/>
        </w:rPr>
        <w:t xml:space="preserve"> nie </w:t>
      </w:r>
      <w:r>
        <w:rPr>
          <w:rFonts w:ascii="Times New Roman" w:hAnsi="Times New Roman"/>
          <w:sz w:val="24"/>
          <w:szCs w:val="24"/>
        </w:rPr>
        <w:t>oznacza jednak automatycznie bra</w:t>
      </w:r>
      <w:r w:rsidRPr="00C2117E">
        <w:rPr>
          <w:rFonts w:ascii="Times New Roman" w:hAnsi="Times New Roman"/>
          <w:sz w:val="24"/>
          <w:szCs w:val="24"/>
        </w:rPr>
        <w:t>k</w:t>
      </w:r>
      <w:r>
        <w:rPr>
          <w:rFonts w:ascii="Times New Roman" w:hAnsi="Times New Roman"/>
          <w:sz w:val="24"/>
          <w:szCs w:val="24"/>
        </w:rPr>
        <w:t>u</w:t>
      </w:r>
      <w:r w:rsidRPr="00C2117E">
        <w:rPr>
          <w:rFonts w:ascii="Times New Roman" w:hAnsi="Times New Roman"/>
          <w:sz w:val="24"/>
          <w:szCs w:val="24"/>
        </w:rPr>
        <w:t xml:space="preserve"> możliwości zmiany decyz</w:t>
      </w:r>
      <w:r>
        <w:rPr>
          <w:rFonts w:ascii="Times New Roman" w:hAnsi="Times New Roman"/>
          <w:sz w:val="24"/>
          <w:szCs w:val="24"/>
        </w:rPr>
        <w:t>ji z powodów, o których mowa</w:t>
      </w:r>
      <w:r w:rsidRPr="00C2117E">
        <w:rPr>
          <w:rFonts w:ascii="Times New Roman" w:hAnsi="Times New Roman"/>
          <w:sz w:val="24"/>
          <w:szCs w:val="24"/>
        </w:rPr>
        <w:t xml:space="preserve"> w art. 106 ust. 5 ustawy o pomocy społecznej</w:t>
      </w:r>
      <w:r>
        <w:rPr>
          <w:rFonts w:ascii="Times New Roman" w:hAnsi="Times New Roman"/>
          <w:sz w:val="24"/>
          <w:szCs w:val="24"/>
        </w:rPr>
        <w:t>. Dotyczy to</w:t>
      </w:r>
      <w:r w:rsidRPr="00C2117E">
        <w:rPr>
          <w:rFonts w:ascii="Times New Roman" w:hAnsi="Times New Roman"/>
          <w:sz w:val="24"/>
          <w:szCs w:val="24"/>
        </w:rPr>
        <w:t xml:space="preserve"> np. </w:t>
      </w:r>
      <w:r>
        <w:rPr>
          <w:rFonts w:ascii="Times New Roman" w:hAnsi="Times New Roman"/>
          <w:sz w:val="24"/>
          <w:szCs w:val="24"/>
        </w:rPr>
        <w:t>przypadku,</w:t>
      </w:r>
      <w:r w:rsidRPr="00C2117E">
        <w:rPr>
          <w:rFonts w:ascii="Times New Roman" w:hAnsi="Times New Roman"/>
          <w:sz w:val="24"/>
          <w:szCs w:val="24"/>
        </w:rPr>
        <w:t xml:space="preserve"> gdy osoba lub rodzina na skut</w:t>
      </w:r>
      <w:r>
        <w:rPr>
          <w:rFonts w:ascii="Times New Roman" w:hAnsi="Times New Roman"/>
          <w:sz w:val="24"/>
          <w:szCs w:val="24"/>
        </w:rPr>
        <w:t>ek zmiany sytuacji faktycznej (w tym zmiany sytuacji dochodowej)</w:t>
      </w:r>
      <w:r w:rsidRPr="00C2117E">
        <w:rPr>
          <w:rFonts w:ascii="Times New Roman" w:hAnsi="Times New Roman"/>
          <w:sz w:val="24"/>
          <w:szCs w:val="24"/>
        </w:rPr>
        <w:t xml:space="preserve"> utraci prawo d</w:t>
      </w:r>
      <w:r>
        <w:rPr>
          <w:rFonts w:ascii="Times New Roman" w:hAnsi="Times New Roman"/>
          <w:sz w:val="24"/>
          <w:szCs w:val="24"/>
        </w:rPr>
        <w:t>o powyżej wskazanych świadczeń.</w:t>
      </w:r>
    </w:p>
    <w:p w:rsidR="00605C1D" w:rsidRPr="00691C98" w:rsidRDefault="00605C1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handlu w niedzielę:</w:t>
      </w:r>
    </w:p>
    <w:p w:rsidR="00605C1D" w:rsidRPr="00691C98" w:rsidRDefault="00605C1D"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Celem zmiany jest zapewnienie placówkom handlowym możliwości sprawnego przyjmowania towarów dostarczanych do tych placówek, tj. rozładowywania, przyjmowania i ekspozycji towarów (na półkach sklepowych), aby były one powszechnie dostępne dla obywateli.</w:t>
      </w:r>
    </w:p>
    <w:p w:rsidR="00615D0D" w:rsidRPr="00615D0D" w:rsidRDefault="00605C1D" w:rsidP="00615D0D">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Czasowa rezygnacja z obowiązywania zakazu wykonywania czynności związanych z handlem polegających na rozładowywaniu, przyjmowaniu i ekspozycji towaru pierwszej potrzeby oraz powierzania pracownikowi lub zatrudnionemu wykonywania takich czynności. nie niesie za sobą żadnych kosztów zarówno dla sektora jednostek finansów publicznych jak i dla przedsiębiorców. Korzystanie z możliwości dostarczania towarów w </w:t>
      </w:r>
      <w:r w:rsidR="009129FE">
        <w:rPr>
          <w:rFonts w:ascii="Times New Roman" w:hAnsi="Times New Roman"/>
          <w:lang w:eastAsia="pl-PL"/>
        </w:rPr>
        <w:t xml:space="preserve">niedziele </w:t>
      </w:r>
      <w:r w:rsidRPr="00691C98">
        <w:rPr>
          <w:rFonts w:ascii="Times New Roman" w:hAnsi="Times New Roman"/>
          <w:lang w:eastAsia="pl-PL"/>
        </w:rPr>
        <w:t>(</w:t>
      </w:r>
      <w:r w:rsidR="009129FE">
        <w:rPr>
          <w:rFonts w:ascii="Times New Roman" w:hAnsi="Times New Roman"/>
          <w:lang w:eastAsia="pl-PL"/>
        </w:rPr>
        <w:t>w które nie wypadają święta</w:t>
      </w:r>
      <w:r w:rsidRPr="00691C98">
        <w:rPr>
          <w:rFonts w:ascii="Times New Roman" w:hAnsi="Times New Roman"/>
          <w:lang w:eastAsia="pl-PL"/>
        </w:rPr>
        <w:t>) nie będzie bowiem obligatoryjne dla przedsiębiorców. Ewentualny koszt po stronie przedsiębiorców może wynikać z</w:t>
      </w:r>
      <w:r w:rsidR="00AB5958">
        <w:rPr>
          <w:rFonts w:ascii="Times New Roman" w:hAnsi="Times New Roman"/>
          <w:lang w:eastAsia="pl-PL"/>
        </w:rPr>
        <w:t xml:space="preserve"> </w:t>
      </w:r>
      <w:r w:rsidRPr="00691C98">
        <w:rPr>
          <w:rFonts w:ascii="Times New Roman" w:hAnsi="Times New Roman"/>
          <w:lang w:eastAsia="pl-PL"/>
        </w:rPr>
        <w:t xml:space="preserve">konieczności dokonania dodatkowych czynności administracyjnych </w:t>
      </w:r>
      <w:r w:rsidR="009129FE">
        <w:rPr>
          <w:rFonts w:ascii="Times New Roman" w:hAnsi="Times New Roman"/>
          <w:lang w:eastAsia="pl-PL"/>
        </w:rPr>
        <w:t>w związku z </w:t>
      </w:r>
      <w:r w:rsidRPr="00691C98">
        <w:rPr>
          <w:rFonts w:ascii="Times New Roman" w:hAnsi="Times New Roman"/>
          <w:lang w:eastAsia="pl-PL"/>
        </w:rPr>
        <w:t>dostosowaniem grafików pracy</w:t>
      </w:r>
      <w:r w:rsidR="009129FE">
        <w:rPr>
          <w:rFonts w:ascii="Times New Roman" w:hAnsi="Times New Roman"/>
          <w:lang w:eastAsia="pl-PL"/>
        </w:rPr>
        <w:t>.</w:t>
      </w:r>
      <w:r w:rsidRPr="00691C98">
        <w:rPr>
          <w:rFonts w:ascii="Times New Roman" w:hAnsi="Times New Roman"/>
          <w:lang w:eastAsia="pl-PL"/>
        </w:rPr>
        <w:t xml:space="preserve"> </w:t>
      </w:r>
      <w:r w:rsidR="009129FE">
        <w:rPr>
          <w:rFonts w:ascii="Times New Roman" w:hAnsi="Times New Roman"/>
          <w:lang w:eastAsia="pl-PL"/>
        </w:rPr>
        <w:t>Niemniej</w:t>
      </w:r>
      <w:r w:rsidRPr="00691C98">
        <w:rPr>
          <w:rFonts w:ascii="Times New Roman" w:hAnsi="Times New Roman"/>
          <w:lang w:eastAsia="pl-PL"/>
        </w:rPr>
        <w:t xml:space="preserve"> projektowane rozwiązanie oznacza większą elastyczność w prowadzeniu wskazanych czynności, </w:t>
      </w:r>
      <w:r w:rsidR="009129FE">
        <w:rPr>
          <w:rFonts w:ascii="Times New Roman" w:hAnsi="Times New Roman"/>
          <w:lang w:eastAsia="pl-PL"/>
        </w:rPr>
        <w:t xml:space="preserve">wobec czego </w:t>
      </w:r>
      <w:r w:rsidRPr="00691C98">
        <w:rPr>
          <w:rFonts w:ascii="Times New Roman" w:hAnsi="Times New Roman"/>
          <w:lang w:eastAsia="pl-PL"/>
        </w:rPr>
        <w:t>koszt ten należy ocenić jako marginalny.</w:t>
      </w:r>
    </w:p>
    <w:p w:rsidR="00657808" w:rsidRPr="00691C98" w:rsidRDefault="0065780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w:t>
      </w:r>
      <w:r w:rsidR="00C23FDD" w:rsidRPr="00691C98">
        <w:rPr>
          <w:rFonts w:ascii="Times New Roman" w:hAnsi="Times New Roman"/>
          <w:b/>
          <w:lang w:eastAsia="pl-PL"/>
        </w:rPr>
        <w:t>mające na celu przesunięcie terminu wnoszenia opłat z tytułu użytkowania wieczystego oraz opłat z tytułu przekształcenia prawa użytkowania wieczystego w</w:t>
      </w:r>
      <w:r w:rsidR="004B5D70">
        <w:rPr>
          <w:rFonts w:ascii="Times New Roman" w:hAnsi="Times New Roman"/>
          <w:b/>
          <w:lang w:eastAsia="pl-PL"/>
        </w:rPr>
        <w:t xml:space="preserve"> </w:t>
      </w:r>
      <w:r w:rsidR="00C23FDD" w:rsidRPr="00691C98">
        <w:rPr>
          <w:rFonts w:ascii="Times New Roman" w:hAnsi="Times New Roman"/>
          <w:b/>
          <w:lang w:eastAsia="pl-PL"/>
        </w:rPr>
        <w:t>prawo własności:</w:t>
      </w:r>
    </w:p>
    <w:p w:rsidR="00657808" w:rsidRPr="00691C98" w:rsidRDefault="00371010" w:rsidP="00691C9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Dodanie</w:t>
      </w:r>
      <w:r w:rsidR="00657808" w:rsidRPr="00691C98">
        <w:rPr>
          <w:rFonts w:ascii="Times New Roman" w:hAnsi="Times New Roman"/>
          <w:lang w:eastAsia="pl-PL"/>
        </w:rPr>
        <w:t xml:space="preserve"> ust. 1a w art. 20 ustawy o przekształceniu prawa użytkowania wieczystego gruntów zabudowanych na cele mieszkaniowe w prawo własności tych gruntów, mają na celu przesunięcie terminu wnoszenia opłat z tytułu użytkowania wieczystego oraz opłat z tytułu przekształcenia prawa </w:t>
      </w:r>
      <w:r w:rsidR="00657808" w:rsidRPr="00691C98">
        <w:rPr>
          <w:rFonts w:ascii="Times New Roman" w:hAnsi="Times New Roman"/>
          <w:lang w:eastAsia="pl-PL"/>
        </w:rPr>
        <w:lastRenderedPageBreak/>
        <w:t>użytkowania wieczystego w praw</w:t>
      </w:r>
      <w:r w:rsidR="00C23FDD" w:rsidRPr="00691C98">
        <w:rPr>
          <w:rFonts w:ascii="Times New Roman" w:hAnsi="Times New Roman"/>
          <w:lang w:eastAsia="pl-PL"/>
        </w:rPr>
        <w:t xml:space="preserve">o własności. Zgodnie z ustawą </w:t>
      </w:r>
      <w:r w:rsidR="00657808" w:rsidRPr="00691C98">
        <w:rPr>
          <w:rFonts w:ascii="Times New Roman" w:hAnsi="Times New Roman"/>
          <w:lang w:eastAsia="pl-PL"/>
        </w:rPr>
        <w:t>o</w:t>
      </w:r>
      <w:r>
        <w:rPr>
          <w:rFonts w:ascii="Times New Roman" w:hAnsi="Times New Roman"/>
          <w:lang w:eastAsia="pl-PL"/>
        </w:rPr>
        <w:t xml:space="preserve"> gospodarce nieruchomościami, w </w:t>
      </w:r>
      <w:r w:rsidR="00657808" w:rsidRPr="00691C98">
        <w:rPr>
          <w:rFonts w:ascii="Times New Roman" w:hAnsi="Times New Roman"/>
          <w:lang w:eastAsia="pl-PL"/>
        </w:rPr>
        <w:t>termini</w:t>
      </w:r>
      <w:r w:rsidR="004B5D70">
        <w:rPr>
          <w:rFonts w:ascii="Times New Roman" w:hAnsi="Times New Roman"/>
          <w:lang w:eastAsia="pl-PL"/>
        </w:rPr>
        <w:t>e do dnia 31 marca każdego roku</w:t>
      </w:r>
      <w:r w:rsidR="00657808" w:rsidRPr="00691C98">
        <w:rPr>
          <w:rFonts w:ascii="Times New Roman" w:hAnsi="Times New Roman"/>
          <w:lang w:eastAsia="pl-PL"/>
        </w:rPr>
        <w:t xml:space="preserve"> wnosi </w:t>
      </w:r>
      <w:r w:rsidR="004B5D70">
        <w:rPr>
          <w:rFonts w:ascii="Times New Roman" w:hAnsi="Times New Roman"/>
          <w:lang w:eastAsia="pl-PL"/>
        </w:rPr>
        <w:t xml:space="preserve">się </w:t>
      </w:r>
      <w:r w:rsidR="00657808" w:rsidRPr="00691C98">
        <w:rPr>
          <w:rFonts w:ascii="Times New Roman" w:hAnsi="Times New Roman"/>
          <w:lang w:eastAsia="pl-PL"/>
        </w:rPr>
        <w:t>opłaty roczne z tytułu użytkowania wieczystego (art. 7</w:t>
      </w:r>
      <w:r w:rsidR="00C23FDD" w:rsidRPr="00691C98">
        <w:rPr>
          <w:rFonts w:ascii="Times New Roman" w:hAnsi="Times New Roman"/>
          <w:lang w:eastAsia="pl-PL"/>
        </w:rPr>
        <w:t>1 ust. 4 tej ustawy). Zgodnie z</w:t>
      </w:r>
      <w:r w:rsidR="004B5D70">
        <w:rPr>
          <w:rFonts w:ascii="Times New Roman" w:hAnsi="Times New Roman"/>
          <w:lang w:eastAsia="pl-PL"/>
        </w:rPr>
        <w:t xml:space="preserve"> </w:t>
      </w:r>
      <w:r w:rsidR="00657808" w:rsidRPr="00691C98">
        <w:rPr>
          <w:rFonts w:ascii="Times New Roman" w:hAnsi="Times New Roman"/>
          <w:lang w:eastAsia="pl-PL"/>
        </w:rPr>
        <w:t>ustawą o przekształceniu prawa użytkowania wieczystego gruntów zabu</w:t>
      </w:r>
      <w:r w:rsidR="004B5D70">
        <w:rPr>
          <w:rFonts w:ascii="Times New Roman" w:hAnsi="Times New Roman"/>
          <w:lang w:eastAsia="pl-PL"/>
        </w:rPr>
        <w:t>dowanych na cele mieszkaniowe w </w:t>
      </w:r>
      <w:r w:rsidR="00657808" w:rsidRPr="00691C98">
        <w:rPr>
          <w:rFonts w:ascii="Times New Roman" w:hAnsi="Times New Roman"/>
          <w:lang w:eastAsia="pl-PL"/>
        </w:rPr>
        <w:t>prawo własności tych gruntów, w te</w:t>
      </w:r>
      <w:r w:rsidR="004B5D70">
        <w:rPr>
          <w:rFonts w:ascii="Times New Roman" w:hAnsi="Times New Roman"/>
          <w:lang w:eastAsia="pl-PL"/>
        </w:rPr>
        <w:t>rminie do 31 marca każdego roku</w:t>
      </w:r>
      <w:r w:rsidR="00657808" w:rsidRPr="00691C98">
        <w:rPr>
          <w:rFonts w:ascii="Times New Roman" w:hAnsi="Times New Roman"/>
          <w:lang w:eastAsia="pl-PL"/>
        </w:rPr>
        <w:t xml:space="preserve"> wnosi się opłatę z tytułu przekształcenia</w:t>
      </w:r>
      <w:r w:rsidR="003B7D4B">
        <w:rPr>
          <w:rFonts w:ascii="Times New Roman" w:hAnsi="Times New Roman"/>
          <w:lang w:eastAsia="pl-PL"/>
        </w:rPr>
        <w:t>.</w:t>
      </w:r>
      <w:r w:rsidR="00657808" w:rsidRPr="00691C98">
        <w:rPr>
          <w:rFonts w:ascii="Times New Roman" w:hAnsi="Times New Roman"/>
          <w:lang w:eastAsia="pl-PL"/>
        </w:rPr>
        <w:t xml:space="preserve"> Projektowana ustawa zakłada – w 2020 r. – odstępstwo od przywołanych zasad i umożliwia wnoszenie opłat z tytułu użytkowania wieczystego oraz opłat z tytułu przekształcenia użytkowania wieczystego do dnia 30 czerwca 2020 r. Celem </w:t>
      </w:r>
      <w:r w:rsidR="00C23FDD" w:rsidRPr="00691C98">
        <w:rPr>
          <w:rFonts w:ascii="Times New Roman" w:hAnsi="Times New Roman"/>
          <w:lang w:eastAsia="pl-PL"/>
        </w:rPr>
        <w:t>wprowadzanych zmian jest uniknię</w:t>
      </w:r>
      <w:r w:rsidR="00657808" w:rsidRPr="00691C98">
        <w:rPr>
          <w:rFonts w:ascii="Times New Roman" w:hAnsi="Times New Roman"/>
          <w:lang w:eastAsia="pl-PL"/>
        </w:rPr>
        <w:t>cie sytuacji, w której wobec zbliżającego się terminu wnoszenia opłat, doszłoby do wzmożonego napływu interesantów do urzędów przyjmujących opłaty, chcących dopełnić formalności w związku z ich wniesieniem.</w:t>
      </w:r>
    </w:p>
    <w:p w:rsidR="003C0798" w:rsidRPr="00691C98" w:rsidRDefault="003C079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umów o imprezę turystyczną:</w:t>
      </w:r>
    </w:p>
    <w:p w:rsidR="003C0798" w:rsidRPr="00691C98" w:rsidRDefault="003C0798"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W związku z ogłoszeniem światowej pandemii koronawirusa termin rozwiązania bądź odstąpienia od umowy o imprezę turystyczną</w:t>
      </w:r>
      <w:r w:rsidR="002F4F45">
        <w:rPr>
          <w:rFonts w:ascii="Times New Roman" w:hAnsi="Times New Roman"/>
          <w:lang w:eastAsia="pl-PL"/>
        </w:rPr>
        <w:t>,</w:t>
      </w:r>
      <w:r w:rsidRPr="00691C98">
        <w:rPr>
          <w:rFonts w:ascii="Times New Roman" w:hAnsi="Times New Roman"/>
          <w:lang w:eastAsia="pl-PL"/>
        </w:rPr>
        <w:t xml:space="preserve"> o którym mowa w art. 47 ust. 4 oraz art. 47 ust. 5 pkt 2</w:t>
      </w:r>
      <w:r w:rsidR="002F4F45">
        <w:rPr>
          <w:rFonts w:ascii="Times New Roman" w:hAnsi="Times New Roman"/>
          <w:lang w:eastAsia="pl-PL"/>
        </w:rPr>
        <w:t>,</w:t>
      </w:r>
      <w:r w:rsidRPr="00691C98">
        <w:rPr>
          <w:rFonts w:ascii="Times New Roman" w:hAnsi="Times New Roman"/>
          <w:lang w:eastAsia="pl-PL"/>
        </w:rPr>
        <w:t xml:space="preserve"> jest skuteczny z mocy prawa po upływie 180 dni. Dotyczy to umów rozwiązanych w bezpośrednim związku z wybuchem epidemii wirusa SARS-CoV-2. Takie rozwiązanie powstrzyma w najbliższych dniach i tygodniach lawinowe ogłaszanie niewypłacalności przez organizatorów turystyki, a tym samym pozwoli to uniknąć setek tysięcy poszkodowanych klientów. Wiele umów zostanie przeniesionych na przyszłe terminy, a w konsekwencji ma szanse ochronić większość organizatorów turystyki, przesunąć ewentualne niewypłacalności i rozłożyć je w czasie. Rozwiązanie to da możliwości na zorganizowanie odpowiednich kredytów pomostowych czy skorzystanie ze specjalnej pomocy państwa w celu zapewnienia płynności branży turystycznej. Alternatywnie klient może skorzystać z propozycji organizatora turystyki do otrzymania vouchera na realizację imprezy turystycznej w przyszłości, w ciągu roku od dnia, w k</w:t>
      </w:r>
      <w:r w:rsidR="00AA1C4C">
        <w:rPr>
          <w:rFonts w:ascii="Times New Roman" w:hAnsi="Times New Roman"/>
          <w:lang w:eastAsia="pl-PL"/>
        </w:rPr>
        <w:t>tórym miała się odbyć. Niezbędną</w:t>
      </w:r>
      <w:r w:rsidRPr="00691C98">
        <w:rPr>
          <w:rFonts w:ascii="Times New Roman" w:hAnsi="Times New Roman"/>
          <w:lang w:eastAsia="pl-PL"/>
        </w:rPr>
        <w:t xml:space="preserve"> przesłanką w tym zakresie będzie zgoda podróżnego w zakresie otrzymania odpowiedniego vouchera.</w:t>
      </w:r>
      <w:r w:rsidR="00AA1C4C" w:rsidRPr="00AA1C4C">
        <w:rPr>
          <w:rFonts w:ascii="Helv" w:hAnsi="Helv" w:cs="Helv"/>
          <w:lang w:eastAsia="pl-PL"/>
        </w:rPr>
        <w:t xml:space="preserve"> </w:t>
      </w:r>
      <w:r w:rsidR="00AA1C4C" w:rsidRPr="00AA1C4C">
        <w:rPr>
          <w:rFonts w:ascii="Times New Roman" w:hAnsi="Times New Roman"/>
          <w:lang w:eastAsia="pl-PL"/>
        </w:rPr>
        <w:t>Przyjęcie przez klienta vouchera nie powoduje rozwiązania umowy z organizatorem turystyki, dlatego środki wpłacone przez klientów będą podlegały ochronie przed niewypłacalnością. Voucher ma umożliwić istotną zmianę warunków umowy między stronami poprzez wskazanie np. nowego miejsca de</w:t>
      </w:r>
      <w:r w:rsidR="00AA1C4C">
        <w:rPr>
          <w:rFonts w:ascii="Times New Roman" w:hAnsi="Times New Roman"/>
          <w:lang w:eastAsia="pl-PL"/>
        </w:rPr>
        <w:t>stynacji, czasu odbycia podróży</w:t>
      </w:r>
      <w:r w:rsidR="00AA1C4C" w:rsidRPr="00AA1C4C">
        <w:rPr>
          <w:rFonts w:ascii="Times New Roman" w:hAnsi="Times New Roman"/>
          <w:lang w:eastAsia="pl-PL"/>
        </w:rPr>
        <w:t xml:space="preserve"> itp. Dodatkowo, wpłacone środki nie będą traktowane jako nowe wpłaty klientów, stąd nie znaj</w:t>
      </w:r>
      <w:r w:rsidR="00AA1C4C">
        <w:rPr>
          <w:rFonts w:ascii="Times New Roman" w:hAnsi="Times New Roman"/>
          <w:lang w:eastAsia="pl-PL"/>
        </w:rPr>
        <w:t>dzie zastosowania regulacja dotycząca</w:t>
      </w:r>
      <w:r w:rsidR="00AA1C4C" w:rsidRPr="00AA1C4C">
        <w:rPr>
          <w:rFonts w:ascii="Times New Roman" w:hAnsi="Times New Roman"/>
          <w:lang w:eastAsia="pl-PL"/>
        </w:rPr>
        <w:t xml:space="preserve"> przedpłat na poczet modyfikacji gwarancji ubezpieczeniowych, bankowych czy ubezpieczeń na rzecz klientów przez organizatorów turystyki. Vouchery dla klientów będą więc w pełni chronione i umożliwią sprawne przekładanie imprez turystycznych na korzystniejszych warunkach.</w:t>
      </w:r>
    </w:p>
    <w:p w:rsidR="009D1D36" w:rsidRPr="00691C98" w:rsidRDefault="009D1D36"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w:t>
      </w:r>
      <w:r w:rsidR="00135C91" w:rsidRPr="00691C98">
        <w:rPr>
          <w:rFonts w:ascii="Times New Roman" w:hAnsi="Times New Roman"/>
          <w:b/>
          <w:lang w:eastAsia="pl-PL"/>
        </w:rPr>
        <w:t>co do</w:t>
      </w:r>
      <w:r w:rsidRPr="00691C98">
        <w:rPr>
          <w:rFonts w:ascii="Times New Roman" w:hAnsi="Times New Roman"/>
          <w:b/>
          <w:lang w:eastAsia="pl-PL"/>
        </w:rPr>
        <w:t xml:space="preserve"> opłat audiowizualnych i abonamentowych:</w:t>
      </w:r>
    </w:p>
    <w:p w:rsidR="009D1D36" w:rsidRPr="00691C98" w:rsidRDefault="009D1D36"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Zmian</w:t>
      </w:r>
      <w:r w:rsidR="00AE43A3" w:rsidRPr="00691C98">
        <w:rPr>
          <w:rFonts w:ascii="Times New Roman" w:hAnsi="Times New Roman"/>
          <w:lang w:eastAsia="pl-PL"/>
        </w:rPr>
        <w:t>y</w:t>
      </w:r>
      <w:r w:rsidRPr="00691C98">
        <w:rPr>
          <w:rFonts w:ascii="Times New Roman" w:hAnsi="Times New Roman"/>
          <w:lang w:eastAsia="pl-PL"/>
        </w:rPr>
        <w:t xml:space="preserve"> ma</w:t>
      </w:r>
      <w:r w:rsidR="00AE43A3" w:rsidRPr="00691C98">
        <w:rPr>
          <w:rFonts w:ascii="Times New Roman" w:hAnsi="Times New Roman"/>
          <w:lang w:eastAsia="pl-PL"/>
        </w:rPr>
        <w:t>ją</w:t>
      </w:r>
      <w:r w:rsidRPr="00691C98">
        <w:rPr>
          <w:rFonts w:ascii="Times New Roman" w:hAnsi="Times New Roman"/>
          <w:lang w:eastAsia="pl-PL"/>
        </w:rPr>
        <w:t xml:space="preserve"> na celu odciążeni</w:t>
      </w:r>
      <w:r w:rsidR="00AE43A3" w:rsidRPr="00691C98">
        <w:rPr>
          <w:rFonts w:ascii="Times New Roman" w:hAnsi="Times New Roman"/>
          <w:lang w:eastAsia="pl-PL"/>
        </w:rPr>
        <w:t>e</w:t>
      </w:r>
      <w:r w:rsidRPr="00691C98">
        <w:rPr>
          <w:rFonts w:ascii="Times New Roman" w:hAnsi="Times New Roman"/>
          <w:lang w:eastAsia="pl-PL"/>
        </w:rPr>
        <w:t xml:space="preserve"> przedsiębiorców z opłat audi</w:t>
      </w:r>
      <w:r w:rsidR="002F4F45">
        <w:rPr>
          <w:rFonts w:ascii="Times New Roman" w:hAnsi="Times New Roman"/>
          <w:lang w:eastAsia="pl-PL"/>
        </w:rPr>
        <w:t>owizualnych i abonamentowych</w:t>
      </w:r>
      <w:r w:rsidRPr="00691C98">
        <w:rPr>
          <w:rFonts w:ascii="Times New Roman" w:hAnsi="Times New Roman"/>
          <w:lang w:eastAsia="pl-PL"/>
        </w:rPr>
        <w:t xml:space="preserve"> w związku z </w:t>
      </w:r>
      <w:r w:rsidR="00AE43A3" w:rsidRPr="00691C98">
        <w:rPr>
          <w:rFonts w:ascii="Times New Roman" w:hAnsi="Times New Roman"/>
          <w:lang w:eastAsia="pl-PL"/>
        </w:rPr>
        <w:t>rozprzestrzenianiem się koronawirusa</w:t>
      </w:r>
      <w:r w:rsidRPr="00691C98">
        <w:rPr>
          <w:rFonts w:ascii="Times New Roman" w:hAnsi="Times New Roman"/>
          <w:lang w:eastAsia="pl-PL"/>
        </w:rPr>
        <w:t xml:space="preserve">. Regulacja dotyczy usługodawców, wśród których </w:t>
      </w:r>
      <w:r w:rsidRPr="00691C98">
        <w:rPr>
          <w:rFonts w:ascii="Times New Roman" w:hAnsi="Times New Roman"/>
          <w:lang w:eastAsia="pl-PL"/>
        </w:rPr>
        <w:lastRenderedPageBreak/>
        <w:t>obłożenie będzie zdecydowanie niższe niż dotychczas. W szczególności z tego rozwią</w:t>
      </w:r>
      <w:r w:rsidR="002F4F45">
        <w:rPr>
          <w:rFonts w:ascii="Times New Roman" w:hAnsi="Times New Roman"/>
          <w:lang w:eastAsia="pl-PL"/>
        </w:rPr>
        <w:t xml:space="preserve">zania skorzystają usługodawcy z </w:t>
      </w:r>
      <w:r w:rsidRPr="00691C98">
        <w:rPr>
          <w:rFonts w:ascii="Times New Roman" w:hAnsi="Times New Roman"/>
          <w:lang w:eastAsia="pl-PL"/>
        </w:rPr>
        <w:t>branży gastronomicznej, hotelarskiej czy fryzjerskiej, gdzie przedmiotem jest korzystanie z utworów lub przedmiotów praw pokrewnych, a opłaty te nie są określane jako wprost zależne od faktycznego przychodu lub dochodu tego przedsiębiorcy za świadczenie przez niego usług w danym okresie. Dodatkowo zakłada się, że w tym specyficznym okresie przedsiębiorcy zostaną zwolnieni z opłat abonamentowych za każdy radioodbiornik czy telewizor w miejscu prowadzenia działalności gospodarczej. Dodatkowo regulacja ta promuje uczciwych przedsiębiorców, którzy uiścili dotychczasowe</w:t>
      </w:r>
      <w:r w:rsidR="00AE43A3" w:rsidRPr="00691C98">
        <w:rPr>
          <w:rFonts w:ascii="Times New Roman" w:hAnsi="Times New Roman"/>
          <w:lang w:eastAsia="pl-PL"/>
        </w:rPr>
        <w:t xml:space="preserve"> zobowiązania zgodnie z prawem.</w:t>
      </w:r>
    </w:p>
    <w:p w:rsidR="00135C91" w:rsidRPr="00691C98" w:rsidRDefault="00135C9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odnośnie uprawnień </w:t>
      </w:r>
      <w:r w:rsidRPr="00691C98">
        <w:rPr>
          <w:rFonts w:ascii="Times New Roman" w:hAnsi="Times New Roman"/>
          <w:b/>
        </w:rPr>
        <w:t>ministra właściwego do spraw kultury i ochrony dziedzictwa narodowego:</w:t>
      </w:r>
    </w:p>
    <w:p w:rsidR="00337AB5" w:rsidRPr="00337AB5" w:rsidRDefault="00337AB5" w:rsidP="00337AB5">
      <w:pPr>
        <w:spacing w:after="0" w:line="360" w:lineRule="auto"/>
        <w:jc w:val="both"/>
        <w:rPr>
          <w:rFonts w:ascii="Times New Roman" w:hAnsi="Times New Roman"/>
          <w:szCs w:val="24"/>
        </w:rPr>
      </w:pPr>
      <w:r w:rsidRPr="00337AB5">
        <w:rPr>
          <w:rFonts w:ascii="Times New Roman" w:hAnsi="Times New Roman"/>
          <w:szCs w:val="24"/>
        </w:rPr>
        <w:t xml:space="preserve">Celem projektowanego przepisu jest stworzenie możliwości przyznawania wsparcia finansowego </w:t>
      </w:r>
      <w:r w:rsidRPr="00337AB5">
        <w:rPr>
          <w:rFonts w:ascii="Times New Roman" w:eastAsia="Times New Roman" w:hAnsi="Times New Roman"/>
          <w:color w:val="000000"/>
          <w:szCs w:val="24"/>
          <w:lang w:eastAsia="pl-PL"/>
        </w:rPr>
        <w:t>osobom fizycznym prowadzącym zarobkowo działalność</w:t>
      </w:r>
      <w:r w:rsidR="00CD4A7A">
        <w:rPr>
          <w:rFonts w:ascii="Times New Roman" w:eastAsia="Times New Roman" w:hAnsi="Times New Roman"/>
          <w:color w:val="000000"/>
          <w:szCs w:val="24"/>
          <w:lang w:eastAsia="pl-PL"/>
        </w:rPr>
        <w:t xml:space="preserve"> twórczą lub</w:t>
      </w:r>
      <w:r w:rsidRPr="00337AB5">
        <w:rPr>
          <w:rFonts w:ascii="Times New Roman" w:eastAsia="Times New Roman" w:hAnsi="Times New Roman"/>
          <w:color w:val="000000"/>
          <w:szCs w:val="24"/>
          <w:lang w:eastAsia="pl-PL"/>
        </w:rPr>
        <w:t xml:space="preserve"> artystyczną w ramach działalności, o której mowa w art. 22 ust. 9b pkt 1-7 ustawy o podatku dochodowym od osób fizycznych </w:t>
      </w:r>
      <w:r w:rsidRPr="00337AB5">
        <w:rPr>
          <w:rFonts w:ascii="Times New Roman" w:hAnsi="Times New Roman"/>
          <w:szCs w:val="24"/>
        </w:rPr>
        <w:t>oraz osób, których działalność jest konieczna dla powstania utworu, które w okresie obowiązywania stanu zagrożenia epidemicznego lub stanu epidemii:</w:t>
      </w:r>
    </w:p>
    <w:p w:rsidR="00337AB5" w:rsidRPr="00337AB5" w:rsidRDefault="00337AB5" w:rsidP="00EC324B">
      <w:pPr>
        <w:pStyle w:val="Akapitzlist"/>
        <w:numPr>
          <w:ilvl w:val="0"/>
          <w:numId w:val="8"/>
        </w:numPr>
        <w:spacing w:line="360" w:lineRule="auto"/>
        <w:contextualSpacing/>
        <w:jc w:val="both"/>
        <w:rPr>
          <w:rFonts w:ascii="Times New Roman" w:hAnsi="Times New Roman"/>
          <w:szCs w:val="24"/>
        </w:rPr>
      </w:pPr>
      <w:r w:rsidRPr="00337AB5">
        <w:rPr>
          <w:rFonts w:ascii="Times New Roman" w:hAnsi="Times New Roman"/>
          <w:szCs w:val="24"/>
        </w:rPr>
        <w:t>nie mogą kontynuować działalności bez naruszenia ograniczeń, zakazów i nakazów, o których mowa w art. 46 ust. 4 ustawy o zapobieganiu oraz zwalczaniu zakażeń i</w:t>
      </w:r>
      <w:r>
        <w:rPr>
          <w:rFonts w:ascii="Times New Roman" w:hAnsi="Times New Roman"/>
          <w:szCs w:val="24"/>
        </w:rPr>
        <w:t> </w:t>
      </w:r>
      <w:r w:rsidRPr="00337AB5">
        <w:rPr>
          <w:rFonts w:ascii="Times New Roman" w:hAnsi="Times New Roman"/>
          <w:szCs w:val="24"/>
        </w:rPr>
        <w:t>chorób zakaźnych ludzi</w:t>
      </w:r>
      <w:r>
        <w:rPr>
          <w:rFonts w:ascii="Times New Roman" w:hAnsi="Times New Roman"/>
          <w:szCs w:val="24"/>
        </w:rPr>
        <w:t>,</w:t>
      </w:r>
      <w:r w:rsidRPr="00337AB5">
        <w:rPr>
          <w:rFonts w:ascii="Times New Roman" w:hAnsi="Times New Roman"/>
          <w:szCs w:val="24"/>
        </w:rPr>
        <w:t xml:space="preserve"> </w:t>
      </w:r>
    </w:p>
    <w:p w:rsidR="00337AB5" w:rsidRPr="00337AB5" w:rsidRDefault="00337AB5" w:rsidP="00EC324B">
      <w:pPr>
        <w:pStyle w:val="Akapitzlist"/>
        <w:numPr>
          <w:ilvl w:val="0"/>
          <w:numId w:val="8"/>
        </w:numPr>
        <w:spacing w:line="360" w:lineRule="auto"/>
        <w:contextualSpacing/>
        <w:jc w:val="both"/>
        <w:rPr>
          <w:rFonts w:ascii="Times New Roman" w:hAnsi="Times New Roman"/>
          <w:szCs w:val="24"/>
        </w:rPr>
      </w:pPr>
      <w:r w:rsidRPr="00337AB5">
        <w:rPr>
          <w:rFonts w:ascii="Times New Roman" w:hAnsi="Times New Roman"/>
          <w:szCs w:val="24"/>
        </w:rPr>
        <w:t>mogłyby kontynuować działalność pod warunkiem zmiany formy upowszechniania tej działalności w taki sposób, by nie naruszała ona ww. ograniczeń, nakazów i zakazów. Przy czym wsparcie finansowe w takim przypadku obejmowałoby dofinansowanie wydatków związanych z</w:t>
      </w:r>
      <w:r>
        <w:rPr>
          <w:rFonts w:ascii="Times New Roman" w:hAnsi="Times New Roman"/>
          <w:szCs w:val="24"/>
        </w:rPr>
        <w:t> </w:t>
      </w:r>
      <w:r w:rsidRPr="00337AB5">
        <w:rPr>
          <w:rFonts w:ascii="Times New Roman" w:hAnsi="Times New Roman"/>
          <w:szCs w:val="24"/>
        </w:rPr>
        <w:t>koniecznością przystosowania się do zmienianych w stosunku do obecnie wykorzystywanych form upowszechniania tej działalności i byłoby skierowane nie tylko do ww. osób fizycznych, ale także osób prawnych i jednostek organizacyjnych nieposiadających osobowości prawnej z</w:t>
      </w:r>
      <w:r>
        <w:rPr>
          <w:rFonts w:ascii="Times New Roman" w:hAnsi="Times New Roman"/>
          <w:szCs w:val="24"/>
        </w:rPr>
        <w:t> </w:t>
      </w:r>
      <w:r w:rsidRPr="00337AB5">
        <w:rPr>
          <w:rFonts w:ascii="Times New Roman" w:hAnsi="Times New Roman"/>
          <w:szCs w:val="24"/>
        </w:rPr>
        <w:t>przeznaczeniem na dofinansowanie wydatków na zmianę formy upowszechniania</w:t>
      </w:r>
      <w:r>
        <w:rPr>
          <w:rFonts w:ascii="Times New Roman" w:hAnsi="Times New Roman"/>
          <w:szCs w:val="24"/>
        </w:rPr>
        <w:t>.</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Projektowany przepis zakłada możliwość przeznaczania środków finansowych na szczególny cel</w:t>
      </w:r>
      <w:r>
        <w:rPr>
          <w:rFonts w:ascii="Times New Roman" w:hAnsi="Times New Roman"/>
          <w:szCs w:val="24"/>
        </w:rPr>
        <w:t>,</w:t>
      </w:r>
      <w:r w:rsidRPr="00337AB5">
        <w:rPr>
          <w:rFonts w:ascii="Times New Roman" w:hAnsi="Times New Roman"/>
          <w:szCs w:val="24"/>
        </w:rPr>
        <w:t xml:space="preserve"> jakim jest pomoc dla poszczególnych podmiotów w reakcji na ich trudną zawodową sytuację w</w:t>
      </w:r>
      <w:r>
        <w:rPr>
          <w:rFonts w:ascii="Times New Roman" w:hAnsi="Times New Roman"/>
          <w:szCs w:val="24"/>
        </w:rPr>
        <w:t> </w:t>
      </w:r>
      <w:r w:rsidRPr="00337AB5">
        <w:rPr>
          <w:rFonts w:ascii="Times New Roman" w:hAnsi="Times New Roman"/>
          <w:szCs w:val="24"/>
        </w:rPr>
        <w:t>okresie obowiązywania stanu zagrożenia epidemicznego. Przy czym zakłada się, że przeznaczenie środków finansowych na ten cel będzie możliwe zarówno w trakcie trwania stanu zagrożenia epidemicznego lub stanu epidemii</w:t>
      </w:r>
      <w:r>
        <w:rPr>
          <w:rFonts w:ascii="Times New Roman" w:hAnsi="Times New Roman"/>
          <w:szCs w:val="24"/>
        </w:rPr>
        <w:t>,</w:t>
      </w:r>
      <w:r w:rsidRPr="00337AB5">
        <w:rPr>
          <w:rFonts w:ascii="Times New Roman" w:hAnsi="Times New Roman"/>
          <w:szCs w:val="24"/>
        </w:rPr>
        <w:t xml:space="preserve"> jak również  w terminie 12 miesięcy od ogłoszenia ich odwołania.</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Reguły postępowania umożliwiające sprawne i szybkie przekazywanie wsparcia finansowego dla uprawnionych zgłaszających taką potrzebę, zostaną określone w akcie wykonawczym.</w:t>
      </w:r>
    </w:p>
    <w:p w:rsidR="00337AB5" w:rsidRDefault="00756228" w:rsidP="00337AB5">
      <w:pPr>
        <w:spacing w:after="120" w:line="360" w:lineRule="auto"/>
        <w:jc w:val="both"/>
        <w:rPr>
          <w:rFonts w:ascii="Times New Roman" w:hAnsi="Times New Roman"/>
          <w:szCs w:val="24"/>
        </w:rPr>
      </w:pPr>
      <w:r>
        <w:rPr>
          <w:rFonts w:ascii="Times New Roman" w:hAnsi="Times New Roman"/>
          <w:szCs w:val="24"/>
        </w:rPr>
        <w:t>Projektowany przepis</w:t>
      </w:r>
      <w:r w:rsidR="00337AB5" w:rsidRPr="00337AB5">
        <w:rPr>
          <w:rFonts w:ascii="Times New Roman" w:hAnsi="Times New Roman"/>
          <w:szCs w:val="24"/>
        </w:rPr>
        <w:t xml:space="preserve"> określa katalog adresatów wsparcia finansowego, okres</w:t>
      </w:r>
      <w:r w:rsidR="00CD4A7A">
        <w:rPr>
          <w:rFonts w:ascii="Times New Roman" w:hAnsi="Times New Roman"/>
          <w:szCs w:val="24"/>
        </w:rPr>
        <w:t>,</w:t>
      </w:r>
      <w:r w:rsidR="00337AB5" w:rsidRPr="00337AB5">
        <w:rPr>
          <w:rFonts w:ascii="Times New Roman" w:hAnsi="Times New Roman"/>
          <w:szCs w:val="24"/>
        </w:rPr>
        <w:t xml:space="preserve"> w jakim wsparcie finansowe będzie udzielane</w:t>
      </w:r>
      <w:r w:rsidR="00CD4A7A">
        <w:rPr>
          <w:rFonts w:ascii="Times New Roman" w:hAnsi="Times New Roman"/>
          <w:szCs w:val="24"/>
        </w:rPr>
        <w:t>,</w:t>
      </w:r>
      <w:r w:rsidR="00337AB5" w:rsidRPr="00337AB5">
        <w:rPr>
          <w:rFonts w:ascii="Times New Roman" w:hAnsi="Times New Roman"/>
          <w:szCs w:val="24"/>
        </w:rPr>
        <w:t xml:space="preserve"> oraz źródło pochodzenia środków finansowych przeznaczanych na ten cel. Zakłada się, że w okresie obowiązywania stanu zagrożenia epidemicznego lub stanu epidemii oraz w terminie 12 miesię</w:t>
      </w:r>
      <w:r w:rsidR="00337AB5">
        <w:rPr>
          <w:rFonts w:ascii="Times New Roman" w:hAnsi="Times New Roman"/>
          <w:szCs w:val="24"/>
        </w:rPr>
        <w:t>cy po ogłoszeniu jego odwołania</w:t>
      </w:r>
      <w:r w:rsidR="00337AB5" w:rsidRPr="00337AB5">
        <w:rPr>
          <w:rFonts w:ascii="Times New Roman" w:hAnsi="Times New Roman"/>
          <w:szCs w:val="24"/>
        </w:rPr>
        <w:t xml:space="preserve"> minister właściwy do spraw kultury i ochrony </w:t>
      </w:r>
      <w:r w:rsidR="00337AB5" w:rsidRPr="00337AB5">
        <w:rPr>
          <w:rFonts w:ascii="Times New Roman" w:hAnsi="Times New Roman"/>
          <w:szCs w:val="24"/>
        </w:rPr>
        <w:lastRenderedPageBreak/>
        <w:t xml:space="preserve">dziedzictwa narodowego może przeznaczać środki budżetu państwa z części, której jest dysponentem, oraz środki Funduszu Promocji Kultury, o którym mowa w art. 87 ust. 1 ustawy </w:t>
      </w:r>
      <w:r w:rsidR="004A00CC">
        <w:rPr>
          <w:rFonts w:ascii="Times New Roman" w:hAnsi="Times New Roman"/>
          <w:szCs w:val="24"/>
        </w:rPr>
        <w:t>o</w:t>
      </w:r>
      <w:r w:rsidR="00337AB5">
        <w:rPr>
          <w:rFonts w:ascii="Times New Roman" w:hAnsi="Times New Roman"/>
          <w:szCs w:val="24"/>
        </w:rPr>
        <w:t xml:space="preserve"> grach hazardowych</w:t>
      </w:r>
      <w:r w:rsidR="00337AB5" w:rsidRPr="00337AB5">
        <w:rPr>
          <w:rFonts w:ascii="Times New Roman" w:hAnsi="Times New Roman"/>
          <w:szCs w:val="24"/>
        </w:rPr>
        <w:t>, na wsparcie finansowe:</w:t>
      </w:r>
    </w:p>
    <w:p w:rsidR="00337AB5" w:rsidRPr="00337AB5" w:rsidRDefault="00337AB5" w:rsidP="00EC324B">
      <w:pPr>
        <w:pStyle w:val="Akapitzlist"/>
        <w:numPr>
          <w:ilvl w:val="0"/>
          <w:numId w:val="10"/>
        </w:numPr>
        <w:spacing w:line="360" w:lineRule="auto"/>
        <w:jc w:val="both"/>
        <w:rPr>
          <w:rFonts w:ascii="Times New Roman" w:hAnsi="Times New Roman"/>
          <w:szCs w:val="24"/>
        </w:rPr>
      </w:pPr>
      <w:r w:rsidRPr="00337AB5">
        <w:rPr>
          <w:rFonts w:ascii="Times New Roman" w:eastAsia="Times New Roman" w:hAnsi="Times New Roman"/>
          <w:color w:val="000000"/>
          <w:szCs w:val="24"/>
          <w:lang w:eastAsia="pl-PL"/>
        </w:rPr>
        <w:t>osób fizycznych prowadzących zarobkowo działalność t</w:t>
      </w:r>
      <w:r w:rsidR="00CD4A7A">
        <w:rPr>
          <w:rFonts w:ascii="Times New Roman" w:eastAsia="Times New Roman" w:hAnsi="Times New Roman"/>
          <w:color w:val="000000"/>
          <w:szCs w:val="24"/>
          <w:lang w:eastAsia="pl-PL"/>
        </w:rPr>
        <w:t xml:space="preserve">wórczą lub artystyczną </w:t>
      </w:r>
      <w:r w:rsidRPr="00337AB5">
        <w:rPr>
          <w:rFonts w:ascii="Times New Roman" w:eastAsia="Times New Roman" w:hAnsi="Times New Roman"/>
          <w:color w:val="000000"/>
          <w:szCs w:val="24"/>
          <w:lang w:eastAsia="pl-PL"/>
        </w:rPr>
        <w:t>w ramach działalności, o której mowa w art. 22 ust. 9b pkt 1-7 ustawy o podatku dochodowym od osób fizycznych</w:t>
      </w:r>
      <w:r w:rsidRPr="00337AB5">
        <w:rPr>
          <w:rFonts w:ascii="Times New Roman" w:hAnsi="Times New Roman"/>
          <w:szCs w:val="24"/>
        </w:rPr>
        <w:t>, a także osób, których działalność jest konieczna dla powstania utworu, w przypadku gdy działalność ta nie może być kontynuowana w obecnej formie w okresie obowiązywania stanu zagrożenia epidemicznego lub stanu epidemii, ze względu na ograniczenia, zakazy i nakazy, o których mowa w art. 46 ust. 4 ustawy o zapobieganiu oraz zwalczaniu zakażeń i chorób zakaźnych ludzi,</w:t>
      </w:r>
    </w:p>
    <w:p w:rsidR="00337AB5" w:rsidRPr="00337AB5" w:rsidRDefault="00337AB5" w:rsidP="00EC324B">
      <w:pPr>
        <w:pStyle w:val="Akapitzlist"/>
        <w:numPr>
          <w:ilvl w:val="0"/>
          <w:numId w:val="10"/>
        </w:numPr>
        <w:spacing w:line="360" w:lineRule="auto"/>
        <w:jc w:val="both"/>
        <w:rPr>
          <w:rFonts w:ascii="Times New Roman" w:hAnsi="Times New Roman"/>
          <w:szCs w:val="24"/>
        </w:rPr>
      </w:pPr>
      <w:r w:rsidRPr="00337AB5">
        <w:rPr>
          <w:rFonts w:ascii="Times New Roman" w:hAnsi="Times New Roman"/>
          <w:szCs w:val="24"/>
        </w:rPr>
        <w:t>osób fizycznych, osób prawnych oraz jednostek organizacyjnych nie posiadających osobowości prawnej, w przypadku gdy działalność twórcza lub artystyczna  może być kontynuowana w</w:t>
      </w:r>
      <w:r w:rsidR="00CD4A7A">
        <w:rPr>
          <w:rFonts w:ascii="Times New Roman" w:hAnsi="Times New Roman"/>
          <w:szCs w:val="24"/>
        </w:rPr>
        <w:t> </w:t>
      </w:r>
      <w:r w:rsidRPr="00337AB5">
        <w:rPr>
          <w:rFonts w:ascii="Times New Roman" w:hAnsi="Times New Roman"/>
          <w:szCs w:val="24"/>
        </w:rPr>
        <w:t>okresie obowiązywania stanu zagrożenia epidemicznego lub stanu epidemii, bez naruszania ograniczeń, zakazów i nakazów, o których mowa w art. 46 ust 4 ustawy o</w:t>
      </w:r>
      <w:r w:rsidR="00CD4A7A">
        <w:rPr>
          <w:rFonts w:ascii="Times New Roman" w:hAnsi="Times New Roman"/>
          <w:szCs w:val="24"/>
        </w:rPr>
        <w:t> </w:t>
      </w:r>
      <w:r w:rsidRPr="00337AB5">
        <w:rPr>
          <w:rFonts w:ascii="Times New Roman" w:hAnsi="Times New Roman"/>
          <w:szCs w:val="24"/>
        </w:rPr>
        <w:t>zapobieganiu oraz zwalczaniu zakażeń i chorób zakaźnych ludzi, w przypadku zmiany formy up</w:t>
      </w:r>
      <w:r w:rsidR="00CD4A7A">
        <w:rPr>
          <w:rFonts w:ascii="Times New Roman" w:hAnsi="Times New Roman"/>
          <w:szCs w:val="24"/>
        </w:rPr>
        <w:t>owszechniania tej działalności.</w:t>
      </w:r>
    </w:p>
    <w:p w:rsidR="00337AB5" w:rsidRPr="00337AB5" w:rsidRDefault="00337AB5" w:rsidP="00337AB5">
      <w:pPr>
        <w:spacing w:line="360" w:lineRule="auto"/>
        <w:jc w:val="both"/>
        <w:rPr>
          <w:rFonts w:ascii="Times New Roman" w:hAnsi="Times New Roman"/>
          <w:color w:val="000000" w:themeColor="text1"/>
          <w:szCs w:val="24"/>
        </w:rPr>
      </w:pPr>
      <w:r w:rsidRPr="00337AB5">
        <w:rPr>
          <w:rFonts w:ascii="Times New Roman" w:hAnsi="Times New Roman"/>
          <w:szCs w:val="24"/>
        </w:rPr>
        <w:t>W przepisie ust. 2 wskazuje się</w:t>
      </w:r>
      <w:r w:rsidR="00CD4A7A">
        <w:rPr>
          <w:rFonts w:ascii="Times New Roman" w:hAnsi="Times New Roman"/>
          <w:szCs w:val="24"/>
        </w:rPr>
        <w:t xml:space="preserve">, </w:t>
      </w:r>
      <w:r w:rsidRPr="00337AB5">
        <w:rPr>
          <w:rFonts w:ascii="Times New Roman" w:hAnsi="Times New Roman"/>
          <w:szCs w:val="24"/>
        </w:rPr>
        <w:t>ż</w:t>
      </w:r>
      <w:r w:rsidR="00CD4A7A">
        <w:rPr>
          <w:rFonts w:ascii="Times New Roman" w:hAnsi="Times New Roman"/>
          <w:szCs w:val="24"/>
        </w:rPr>
        <w:t>e</w:t>
      </w:r>
      <w:r w:rsidRPr="00337AB5">
        <w:rPr>
          <w:rFonts w:ascii="Times New Roman" w:hAnsi="Times New Roman"/>
          <w:szCs w:val="24"/>
        </w:rPr>
        <w:t xml:space="preserve"> wsparcie finansowe dla podmiotów, których działalność może być kontynuowana w okresie stanu zagrożenia epidemicznego lub stanu epidemii pod warunkiem zmiany formy upowszechniania tej działalności</w:t>
      </w:r>
      <w:r w:rsidR="00CD4A7A">
        <w:rPr>
          <w:rFonts w:ascii="Times New Roman" w:hAnsi="Times New Roman"/>
          <w:szCs w:val="24"/>
        </w:rPr>
        <w:t>,</w:t>
      </w:r>
      <w:r w:rsidRPr="00337AB5">
        <w:rPr>
          <w:rFonts w:ascii="Times New Roman" w:hAnsi="Times New Roman"/>
          <w:szCs w:val="24"/>
        </w:rPr>
        <w:t xml:space="preserve"> musi mieścić się w katalogu działań </w:t>
      </w:r>
      <w:r w:rsidRPr="00337AB5">
        <w:rPr>
          <w:rFonts w:ascii="Times New Roman" w:hAnsi="Times New Roman"/>
          <w:color w:val="000000" w:themeColor="text1"/>
          <w:szCs w:val="24"/>
        </w:rPr>
        <w:t>objętych mecenatem państwa, tj. dotyczyć:</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 xml:space="preserve">podtrzymywania i rozpowszechniania </w:t>
      </w:r>
      <w:r w:rsidR="00CD4A7A">
        <w:rPr>
          <w:rFonts w:ascii="Times New Roman" w:eastAsia="Times New Roman" w:hAnsi="Times New Roman"/>
          <w:color w:val="000000" w:themeColor="text1"/>
          <w:szCs w:val="24"/>
          <w:lang w:eastAsia="pl-PL"/>
        </w:rPr>
        <w:t>tradycji narodowej i państwowej,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upowszechniania i p</w:t>
      </w:r>
      <w:r w:rsidR="00CD4A7A">
        <w:rPr>
          <w:rFonts w:ascii="Times New Roman" w:eastAsia="Times New Roman" w:hAnsi="Times New Roman"/>
          <w:color w:val="000000" w:themeColor="text1"/>
          <w:szCs w:val="24"/>
          <w:lang w:eastAsia="pl-PL"/>
        </w:rPr>
        <w:t>romocji twórczości artystycznej,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upowszec</w:t>
      </w:r>
      <w:r w:rsidR="00CD4A7A">
        <w:rPr>
          <w:rFonts w:ascii="Times New Roman" w:eastAsia="Times New Roman" w:hAnsi="Times New Roman"/>
          <w:color w:val="000000" w:themeColor="text1"/>
          <w:szCs w:val="24"/>
          <w:lang w:eastAsia="pl-PL"/>
        </w:rPr>
        <w:t>hniania i promocji czytelnictwa,</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promo</w:t>
      </w:r>
      <w:r w:rsidR="00CD4A7A">
        <w:rPr>
          <w:rFonts w:ascii="Times New Roman" w:eastAsia="Times New Roman" w:hAnsi="Times New Roman"/>
          <w:color w:val="000000" w:themeColor="text1"/>
          <w:szCs w:val="24"/>
          <w:lang w:eastAsia="pl-PL"/>
        </w:rPr>
        <w:t>cji kultury polskiej za granicą,</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zachowania i waloryzacji dziedzictwa kulturowego, w tym polskiego dzi</w:t>
      </w:r>
      <w:r w:rsidR="00CD4A7A">
        <w:rPr>
          <w:rFonts w:ascii="Times New Roman" w:eastAsia="Times New Roman" w:hAnsi="Times New Roman"/>
          <w:color w:val="000000" w:themeColor="text1"/>
          <w:szCs w:val="24"/>
          <w:lang w:eastAsia="pl-PL"/>
        </w:rPr>
        <w:t>edzictwa kulturowego za granicą,</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ochrony i udostępniania dziedzictwa kulturowego, w tym polskiego dziedzictwa kulturowego za granicą, o</w:t>
      </w:r>
      <w:r w:rsidR="00CD4A7A">
        <w:rPr>
          <w:rFonts w:ascii="Times New Roman" w:eastAsia="Times New Roman" w:hAnsi="Times New Roman"/>
          <w:color w:val="000000" w:themeColor="text1"/>
          <w:szCs w:val="24"/>
          <w:lang w:eastAsia="pl-PL"/>
        </w:rPr>
        <w:t>raz opieki nad tym dziedzictwem,</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budowy i moderniz</w:t>
      </w:r>
      <w:r w:rsidR="00CD4A7A">
        <w:rPr>
          <w:rFonts w:ascii="Times New Roman" w:eastAsia="Times New Roman" w:hAnsi="Times New Roman"/>
          <w:color w:val="000000" w:themeColor="text1"/>
          <w:szCs w:val="24"/>
          <w:lang w:eastAsia="pl-PL"/>
        </w:rPr>
        <w:t>acji infrastruktury kulturalnej,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tworzenia warunków do zakupów, ekspozycji i upow</w:t>
      </w:r>
      <w:r w:rsidR="00CD4A7A">
        <w:rPr>
          <w:rFonts w:ascii="Times New Roman" w:eastAsia="Times New Roman" w:hAnsi="Times New Roman"/>
          <w:color w:val="000000" w:themeColor="text1"/>
          <w:szCs w:val="24"/>
          <w:lang w:eastAsia="pl-PL"/>
        </w:rPr>
        <w:t>szechniania sztuki współczesnej,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zachowania i upowszechniania tradycji</w:t>
      </w:r>
      <w:r w:rsidR="00CD4A7A">
        <w:rPr>
          <w:rFonts w:ascii="Times New Roman" w:eastAsia="Times New Roman" w:hAnsi="Times New Roman"/>
          <w:color w:val="000000" w:themeColor="text1"/>
          <w:szCs w:val="24"/>
          <w:lang w:eastAsia="pl-PL"/>
        </w:rPr>
        <w:t xml:space="preserve"> regionalnych i kultury ludowej,</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t>tworzenia i wdrażania systemów i</w:t>
      </w:r>
      <w:r w:rsidR="00CD4A7A">
        <w:rPr>
          <w:rFonts w:ascii="Times New Roman" w:eastAsia="Times New Roman" w:hAnsi="Times New Roman"/>
          <w:color w:val="000000" w:themeColor="text1"/>
          <w:szCs w:val="24"/>
          <w:lang w:eastAsia="pl-PL"/>
        </w:rPr>
        <w:t>nformatycznych w sferze kultury,</w:t>
      </w:r>
    </w:p>
    <w:p w:rsidR="00337AB5" w:rsidRPr="00337AB5"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337AB5">
        <w:rPr>
          <w:rFonts w:ascii="Times New Roman" w:eastAsia="Times New Roman" w:hAnsi="Times New Roman"/>
          <w:color w:val="000000" w:themeColor="text1"/>
          <w:szCs w:val="24"/>
          <w:lang w:eastAsia="pl-PL"/>
        </w:rPr>
        <w:lastRenderedPageBreak/>
        <w:t>digitalizacji zasobów kultury i dziedzictwa narodowego oraz gromadzenia, przechowywania, udostępniania i ponownego wykorzystywania cyfrowych zasobów k</w:t>
      </w:r>
      <w:r w:rsidR="00CD4A7A">
        <w:rPr>
          <w:rFonts w:ascii="Times New Roman" w:eastAsia="Times New Roman" w:hAnsi="Times New Roman"/>
          <w:color w:val="000000" w:themeColor="text1"/>
          <w:szCs w:val="24"/>
          <w:lang w:eastAsia="pl-PL"/>
        </w:rPr>
        <w:t>ultury i dziedzictwa narodowego,</w:t>
      </w:r>
    </w:p>
    <w:p w:rsidR="00CD4A7A"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CD4A7A">
        <w:rPr>
          <w:rFonts w:ascii="Times New Roman" w:eastAsia="Times New Roman" w:hAnsi="Times New Roman"/>
          <w:color w:val="000000" w:themeColor="text1"/>
          <w:szCs w:val="24"/>
          <w:lang w:eastAsia="pl-PL"/>
        </w:rPr>
        <w:t>edukacji kulturalnej społeczeństwa</w:t>
      </w:r>
    </w:p>
    <w:p w:rsidR="00337AB5" w:rsidRPr="00CD4A7A" w:rsidRDefault="00337AB5" w:rsidP="00EC324B">
      <w:pPr>
        <w:pStyle w:val="Akapitzlist"/>
        <w:numPr>
          <w:ilvl w:val="0"/>
          <w:numId w:val="9"/>
        </w:numPr>
        <w:spacing w:before="100" w:beforeAutospacing="1" w:after="100" w:afterAutospacing="1" w:line="360" w:lineRule="auto"/>
        <w:contextualSpacing/>
        <w:jc w:val="both"/>
        <w:rPr>
          <w:rFonts w:ascii="Times New Roman" w:eastAsia="Times New Roman" w:hAnsi="Times New Roman"/>
          <w:color w:val="000000" w:themeColor="text1"/>
          <w:szCs w:val="24"/>
          <w:lang w:eastAsia="pl-PL"/>
        </w:rPr>
      </w:pPr>
      <w:r w:rsidRPr="00CD4A7A">
        <w:rPr>
          <w:rFonts w:ascii="Times New Roman" w:eastAsia="Times New Roman" w:hAnsi="Times New Roman"/>
          <w:color w:val="000000" w:themeColor="text1"/>
          <w:szCs w:val="24"/>
          <w:lang w:eastAsia="pl-PL"/>
        </w:rPr>
        <w:t>lub produkcji audiowizualnej.</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Zgodnie z projektowanym ust. 3 i 4 wsparcie finansowe dla osób fizycznych nie mogących kontynuować działalności twórczej lub artystycznej</w:t>
      </w:r>
      <w:r w:rsidR="00CD4A7A">
        <w:rPr>
          <w:rFonts w:ascii="Times New Roman" w:hAnsi="Times New Roman"/>
          <w:szCs w:val="24"/>
        </w:rPr>
        <w:t>,</w:t>
      </w:r>
      <w:r w:rsidRPr="00337AB5">
        <w:rPr>
          <w:rFonts w:ascii="Times New Roman" w:hAnsi="Times New Roman"/>
          <w:szCs w:val="24"/>
        </w:rPr>
        <w:t xml:space="preserve"> a także osób przyczyniających się do powstania utworu lub artystycznego wykonania</w:t>
      </w:r>
      <w:r w:rsidR="00CD4A7A">
        <w:rPr>
          <w:rFonts w:ascii="Times New Roman" w:hAnsi="Times New Roman"/>
          <w:szCs w:val="24"/>
        </w:rPr>
        <w:t>,</w:t>
      </w:r>
      <w:r w:rsidRPr="00337AB5">
        <w:rPr>
          <w:rFonts w:ascii="Times New Roman" w:hAnsi="Times New Roman"/>
          <w:szCs w:val="24"/>
        </w:rPr>
        <w:t xml:space="preserve"> obejmowałoby dofinansowanie do kosztów bieżącego utrzymania</w:t>
      </w:r>
      <w:r w:rsidR="00CD4A7A">
        <w:rPr>
          <w:rFonts w:ascii="Times New Roman" w:hAnsi="Times New Roman"/>
          <w:szCs w:val="24"/>
        </w:rPr>
        <w:t>,</w:t>
      </w:r>
      <w:r w:rsidRPr="00337AB5">
        <w:rPr>
          <w:rFonts w:ascii="Times New Roman" w:hAnsi="Times New Roman"/>
          <w:szCs w:val="24"/>
        </w:rPr>
        <w:t xml:space="preserve"> a dla podmiotów mogących kontynuować działalność pod warunkiem zmiany formy upowszechniania – dofinansowanie </w:t>
      </w:r>
      <w:r w:rsidR="00914664">
        <w:rPr>
          <w:rFonts w:ascii="Times New Roman" w:hAnsi="Times New Roman"/>
          <w:szCs w:val="24"/>
        </w:rPr>
        <w:t>wydatków na zmianę tej formy.</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W przepisie ust. 5 wskazano podmioty, które mogą udzielać ww. wsparcia finansowego. Są nimi minister właściwy do spraw kultury i ochrony dziedzictwa narodowego lub wskazana przez niego państwowa instytucja kultury. Rozwiązanie przewidujące możliwość włączenia w procedury zmierzające do udzielenia wsparcia finansowego także instytucji kultury ma na celu usprawnienie procesu przekazywania tego wsparcia konkretnym podmiotom.</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 xml:space="preserve">Przepis ust. 6 zawiera upoważnienie dla ministra właściwego do spraw kultury i ochrony dziedzictwa narodowego do wydania rozporządzenia określającego szczegółowe warunki uzyskiwania wsparcia finansowego przez twórcę lub artystę oraz osobę przyczyniającą się do powstania utworu </w:t>
      </w:r>
      <w:r w:rsidRPr="00337AB5">
        <w:rPr>
          <w:rFonts w:ascii="Times New Roman" w:eastAsia="Times New Roman" w:hAnsi="Times New Roman"/>
          <w:color w:val="000000"/>
          <w:szCs w:val="24"/>
          <w:lang w:eastAsia="pl-PL"/>
        </w:rPr>
        <w:t>a</w:t>
      </w:r>
      <w:r w:rsidR="00914664">
        <w:rPr>
          <w:rFonts w:ascii="Times New Roman" w:eastAsia="Times New Roman" w:hAnsi="Times New Roman"/>
          <w:color w:val="000000"/>
          <w:szCs w:val="24"/>
          <w:lang w:eastAsia="pl-PL"/>
        </w:rPr>
        <w:t> </w:t>
      </w:r>
      <w:r w:rsidRPr="00337AB5">
        <w:rPr>
          <w:rFonts w:ascii="Times New Roman" w:eastAsia="Times New Roman" w:hAnsi="Times New Roman"/>
          <w:color w:val="000000"/>
          <w:szCs w:val="24"/>
          <w:lang w:eastAsia="pl-PL"/>
        </w:rPr>
        <w:t>w</w:t>
      </w:r>
      <w:r w:rsidR="00914664">
        <w:rPr>
          <w:rFonts w:ascii="Times New Roman" w:eastAsia="Times New Roman" w:hAnsi="Times New Roman"/>
          <w:color w:val="000000"/>
          <w:szCs w:val="24"/>
          <w:lang w:eastAsia="pl-PL"/>
        </w:rPr>
        <w:t> </w:t>
      </w:r>
      <w:r w:rsidRPr="00337AB5">
        <w:rPr>
          <w:rFonts w:ascii="Times New Roman" w:eastAsia="Times New Roman" w:hAnsi="Times New Roman"/>
          <w:color w:val="000000"/>
          <w:szCs w:val="24"/>
          <w:lang w:eastAsia="pl-PL"/>
        </w:rPr>
        <w:t>przypadku zmiany formy upowszechniania działalności, także dla osób prawnych i jednostek organizacyjnych nieposiadających osobowości prawnej</w:t>
      </w:r>
      <w:r w:rsidR="00914664">
        <w:rPr>
          <w:rFonts w:ascii="Times New Roman" w:eastAsia="Times New Roman" w:hAnsi="Times New Roman"/>
          <w:color w:val="000000"/>
          <w:szCs w:val="24"/>
          <w:lang w:eastAsia="pl-PL"/>
        </w:rPr>
        <w:t>,</w:t>
      </w:r>
      <w:r w:rsidRPr="00337AB5">
        <w:rPr>
          <w:rFonts w:ascii="Times New Roman" w:hAnsi="Times New Roman"/>
          <w:szCs w:val="24"/>
        </w:rPr>
        <w:t xml:space="preserve"> w tym maksymalną wysokość tego wsparcia, dane objęte wnioskiem, tryb składania wniosków oraz przekazywania środków, przy uwzględnieniu okresu, przez który obowiązuje stan zagrożenia epidemicznego lub stan epidemii, zakresu ograniczeń, zakazów i nakazów, o których mowa w art. 46 ust. 4 ustawy o zapobieganiu oraz zwalczaniu zakażeń i chorób zakaźnych ludzi, priorytetów społecznych oraz konieczności zapewnienia ciągłości realizacji zadań, na które przeznaczane są środki budżetu państwa z części, której minister właściwy do spraw kultury i ochrony dziedzictwa narodowego jest dysponentem, oraz przedsięwzięć i działań, o których mowa w art. 87 ust. 4 ustawy o grach hazardowych.</w:t>
      </w:r>
    </w:p>
    <w:p w:rsidR="00337AB5" w:rsidRPr="00337AB5" w:rsidRDefault="00337AB5" w:rsidP="00337AB5">
      <w:pPr>
        <w:spacing w:line="360" w:lineRule="auto"/>
        <w:jc w:val="both"/>
        <w:rPr>
          <w:rFonts w:ascii="Times New Roman" w:hAnsi="Times New Roman"/>
          <w:szCs w:val="24"/>
        </w:rPr>
      </w:pPr>
      <w:r w:rsidRPr="00337AB5">
        <w:rPr>
          <w:rFonts w:ascii="Times New Roman" w:hAnsi="Times New Roman"/>
          <w:szCs w:val="24"/>
        </w:rPr>
        <w:t xml:space="preserve">Wsparcie finansowe jest przeznaczone dla osób fizycznych prowadzących w różnych formach prawnych zarobkowo działalność twórczą, artystyczną oraz </w:t>
      </w:r>
      <w:r w:rsidRPr="00337AB5">
        <w:rPr>
          <w:rFonts w:ascii="Times New Roman" w:eastAsia="Times New Roman" w:hAnsi="Times New Roman"/>
          <w:color w:val="000000"/>
          <w:szCs w:val="24"/>
          <w:lang w:eastAsia="pl-PL"/>
        </w:rPr>
        <w:t>przyczyniających się do powstania utworu lub artystycznego wykonania w ramach działalności, o której mowa w a</w:t>
      </w:r>
      <w:r w:rsidR="00756228">
        <w:rPr>
          <w:rFonts w:ascii="Times New Roman" w:eastAsia="Times New Roman" w:hAnsi="Times New Roman"/>
          <w:color w:val="000000"/>
          <w:szCs w:val="24"/>
          <w:lang w:eastAsia="pl-PL"/>
        </w:rPr>
        <w:t>rt. 22 ust. 9b pkt 1-7 ustawy o </w:t>
      </w:r>
      <w:r w:rsidRPr="00337AB5">
        <w:rPr>
          <w:rFonts w:ascii="Times New Roman" w:eastAsia="Times New Roman" w:hAnsi="Times New Roman"/>
          <w:color w:val="000000"/>
          <w:szCs w:val="24"/>
          <w:lang w:eastAsia="pl-PL"/>
        </w:rPr>
        <w:t>podatku dochodowym od osób fizycznych, a w przypadku zmiany formy tej działalności także dla osób prawnych i jednostek organizacyjnych nieposiadających osobowości prawnej</w:t>
      </w:r>
      <w:r w:rsidRPr="00337AB5">
        <w:rPr>
          <w:rFonts w:ascii="Times New Roman" w:hAnsi="Times New Roman"/>
          <w:szCs w:val="24"/>
        </w:rPr>
        <w:t>.</w:t>
      </w:r>
    </w:p>
    <w:p w:rsidR="005B4FA1" w:rsidRDefault="003829D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uzyskania zezwolenia na wykonywanie przewozów regularnych i przewozów regularnych specjalnych:</w:t>
      </w:r>
    </w:p>
    <w:p w:rsidR="005B4FA1" w:rsidRDefault="005B4FA1" w:rsidP="005B4FA1">
      <w:pPr>
        <w:spacing w:line="360" w:lineRule="auto"/>
        <w:jc w:val="both"/>
        <w:rPr>
          <w:rFonts w:ascii="Times New Roman" w:hAnsi="Times New Roman"/>
          <w:szCs w:val="24"/>
          <w:lang w:eastAsia="pl-PL"/>
        </w:rPr>
      </w:pPr>
      <w:r w:rsidRPr="005B4FA1">
        <w:rPr>
          <w:rFonts w:ascii="Times New Roman" w:hAnsi="Times New Roman"/>
          <w:szCs w:val="24"/>
          <w:shd w:val="clear" w:color="auto" w:fill="FFFFFF"/>
        </w:rPr>
        <w:lastRenderedPageBreak/>
        <w:t xml:space="preserve">Branża transportowa jest jedną z pierwszych, która odczuła skutki wywołane </w:t>
      </w:r>
      <w:r w:rsidRPr="005B4FA1">
        <w:rPr>
          <w:rFonts w:ascii="Times New Roman" w:hAnsi="Times New Roman"/>
          <w:szCs w:val="24"/>
          <w:lang w:eastAsia="pl-PL"/>
        </w:rPr>
        <w:t>zagro</w:t>
      </w:r>
      <w:r w:rsidRPr="005B4FA1">
        <w:rPr>
          <w:rFonts w:ascii="Times New Roman" w:eastAsia="Times New Roman" w:hAnsi="Times New Roman"/>
          <w:szCs w:val="24"/>
          <w:lang w:eastAsia="pl-PL"/>
        </w:rPr>
        <w:t>ż</w:t>
      </w:r>
      <w:r w:rsidRPr="005B4FA1">
        <w:rPr>
          <w:rFonts w:ascii="Times New Roman" w:hAnsi="Times New Roman"/>
          <w:szCs w:val="24"/>
          <w:lang w:eastAsia="pl-PL"/>
        </w:rPr>
        <w:t>eniem rozprzestrzeniania si</w:t>
      </w:r>
      <w:r w:rsidRPr="005B4FA1">
        <w:rPr>
          <w:rFonts w:ascii="Times New Roman" w:eastAsia="Times New Roman" w:hAnsi="Times New Roman"/>
          <w:szCs w:val="24"/>
          <w:lang w:eastAsia="pl-PL"/>
        </w:rPr>
        <w:t>ę</w:t>
      </w:r>
      <w:r w:rsidRPr="005B4FA1">
        <w:rPr>
          <w:rFonts w:ascii="Times New Roman" w:hAnsi="Times New Roman"/>
          <w:szCs w:val="24"/>
          <w:lang w:eastAsia="pl-PL"/>
        </w:rPr>
        <w:t xml:space="preserve"> </w:t>
      </w:r>
      <w:r>
        <w:rPr>
          <w:rFonts w:ascii="Times New Roman" w:hAnsi="Times New Roman"/>
          <w:szCs w:val="24"/>
          <w:lang w:eastAsia="pl-PL"/>
        </w:rPr>
        <w:t>COVID-19</w:t>
      </w:r>
      <w:r w:rsidRPr="005B4FA1">
        <w:rPr>
          <w:rFonts w:ascii="Times New Roman" w:hAnsi="Times New Roman"/>
          <w:szCs w:val="24"/>
          <w:lang w:eastAsia="pl-PL"/>
        </w:rPr>
        <w:t>. W</w:t>
      </w:r>
      <w:r w:rsidR="003829D1">
        <w:rPr>
          <w:rFonts w:ascii="Times New Roman" w:hAnsi="Times New Roman"/>
          <w:szCs w:val="24"/>
          <w:lang w:eastAsia="pl-PL"/>
        </w:rPr>
        <w:t xml:space="preserve"> </w:t>
      </w:r>
      <w:r w:rsidRPr="005B4FA1">
        <w:rPr>
          <w:rFonts w:ascii="Times New Roman" w:hAnsi="Times New Roman"/>
          <w:szCs w:val="24"/>
          <w:lang w:eastAsia="pl-PL"/>
        </w:rPr>
        <w:t>ostatnim czasie przedsiębiorstwa transportowe, zwłaszcza zajmujące się transportem osób, notują drastyczny spadek zamówień na świadczone przez nich usługi transportowe. Odwołanie imprez masowych, malejący ruch turystyczny (</w:t>
      </w:r>
      <w:r w:rsidRPr="005B4FA1">
        <w:rPr>
          <w:rStyle w:val="Pogrubienie"/>
          <w:rFonts w:ascii="Times New Roman" w:hAnsi="Times New Roman"/>
          <w:b w:val="0"/>
          <w:szCs w:val="24"/>
          <w:shd w:val="clear" w:color="auto" w:fill="FFFFFF"/>
        </w:rPr>
        <w:t>odwołane wycieczki, wycieczki szkolne, pielgrzymki)</w:t>
      </w:r>
      <w:r>
        <w:rPr>
          <w:rStyle w:val="Pogrubienie"/>
          <w:rFonts w:ascii="Times New Roman" w:hAnsi="Times New Roman"/>
          <w:b w:val="0"/>
          <w:szCs w:val="24"/>
          <w:shd w:val="clear" w:color="auto" w:fill="FFFFFF"/>
        </w:rPr>
        <w:t>,</w:t>
      </w:r>
      <w:r w:rsidRPr="005B4FA1">
        <w:rPr>
          <w:rStyle w:val="Pogrubienie"/>
          <w:rFonts w:ascii="Times New Roman" w:hAnsi="Times New Roman"/>
          <w:b w:val="0"/>
          <w:szCs w:val="24"/>
          <w:shd w:val="clear" w:color="auto" w:fill="FFFFFF"/>
        </w:rPr>
        <w:t xml:space="preserve"> </w:t>
      </w:r>
      <w:r w:rsidRPr="005B4FA1">
        <w:rPr>
          <w:rFonts w:ascii="Times New Roman" w:hAnsi="Times New Roman"/>
          <w:szCs w:val="24"/>
          <w:lang w:eastAsia="pl-PL"/>
        </w:rPr>
        <w:t>a także zmniejszająca się liczba osób podróżujących zarówno w</w:t>
      </w:r>
      <w:r>
        <w:rPr>
          <w:rFonts w:ascii="Times New Roman" w:hAnsi="Times New Roman"/>
          <w:szCs w:val="24"/>
          <w:lang w:eastAsia="pl-PL"/>
        </w:rPr>
        <w:t> </w:t>
      </w:r>
      <w:r w:rsidRPr="005B4FA1">
        <w:rPr>
          <w:rFonts w:ascii="Times New Roman" w:hAnsi="Times New Roman"/>
          <w:szCs w:val="24"/>
          <w:lang w:eastAsia="pl-PL"/>
        </w:rPr>
        <w:t>kraju, jak i za granicę, powodują znaczne straty finansowe wśród przewoźników drogowych wykonujących przewozy regularne, tj. p</w:t>
      </w:r>
      <w:r w:rsidRPr="005B4FA1">
        <w:rPr>
          <w:rFonts w:ascii="Times New Roman" w:hAnsi="Times New Roman"/>
          <w:szCs w:val="24"/>
          <w:shd w:val="clear" w:color="auto" w:fill="FFFFFF"/>
        </w:rPr>
        <w:t>ubliczne przewozy osób i ich bagażu w określonych odstępa</w:t>
      </w:r>
      <w:r>
        <w:rPr>
          <w:rFonts w:ascii="Times New Roman" w:hAnsi="Times New Roman"/>
          <w:szCs w:val="24"/>
          <w:shd w:val="clear" w:color="auto" w:fill="FFFFFF"/>
        </w:rPr>
        <w:t xml:space="preserve">ch czasu i określonymi trasami </w:t>
      </w:r>
      <w:r w:rsidRPr="005B4FA1">
        <w:rPr>
          <w:rFonts w:ascii="Times New Roman" w:hAnsi="Times New Roman"/>
          <w:szCs w:val="24"/>
          <w:lang w:eastAsia="pl-PL"/>
        </w:rPr>
        <w:t xml:space="preserve">oraz przewozy </w:t>
      </w:r>
      <w:r w:rsidRPr="005B4FA1">
        <w:rPr>
          <w:rFonts w:ascii="Times New Roman" w:hAnsi="Times New Roman"/>
          <w:szCs w:val="24"/>
          <w:shd w:val="clear" w:color="auto" w:fill="FFFFFF"/>
        </w:rPr>
        <w:t xml:space="preserve">regularne specjalne, </w:t>
      </w:r>
      <w:r w:rsidRPr="005B4FA1">
        <w:rPr>
          <w:rFonts w:ascii="Times New Roman" w:hAnsi="Times New Roman"/>
          <w:szCs w:val="24"/>
          <w:lang w:eastAsia="pl-PL"/>
        </w:rPr>
        <w:t>tj. niepubliczne przewozy regularne określonej grupy osób, z wyłączeniem innych osób. Duża część wykonywanych przewozów regularnych stała się nierentowna bądź też niemożliwe jest ich wykonywanie zgodnie z rozkładem jazdy i na warunkach określonych w uzyskanym zezwoleniu na wykonywanie tego rodzaju przewozu. Dlatego też powstała konieczność wprowadzenia szczególnych rozwi</w:t>
      </w:r>
      <w:r w:rsidRPr="005B4FA1">
        <w:rPr>
          <w:rFonts w:ascii="Times New Roman" w:eastAsia="Times New Roman" w:hAnsi="Times New Roman"/>
          <w:szCs w:val="24"/>
          <w:lang w:eastAsia="pl-PL"/>
        </w:rPr>
        <w:t>ą</w:t>
      </w:r>
      <w:r w:rsidRPr="005B4FA1">
        <w:rPr>
          <w:rFonts w:ascii="Times New Roman" w:hAnsi="Times New Roman"/>
          <w:szCs w:val="24"/>
          <w:lang w:eastAsia="pl-PL"/>
        </w:rPr>
        <w:t>za</w:t>
      </w:r>
      <w:r w:rsidRPr="005B4FA1">
        <w:rPr>
          <w:rFonts w:ascii="Times New Roman" w:eastAsia="Times New Roman" w:hAnsi="Times New Roman"/>
          <w:szCs w:val="24"/>
          <w:lang w:eastAsia="pl-PL"/>
        </w:rPr>
        <w:t>ń</w:t>
      </w:r>
      <w:r w:rsidRPr="005B4FA1">
        <w:rPr>
          <w:rFonts w:ascii="Times New Roman" w:hAnsi="Times New Roman"/>
          <w:szCs w:val="24"/>
          <w:lang w:eastAsia="pl-PL"/>
        </w:rPr>
        <w:t xml:space="preserve"> minimalizujących negatywne skutki ekonomiczne dla tego sektora gospodarki</w:t>
      </w:r>
      <w:r>
        <w:rPr>
          <w:rFonts w:ascii="Times New Roman" w:hAnsi="Times New Roman"/>
          <w:szCs w:val="24"/>
          <w:lang w:eastAsia="pl-PL"/>
        </w:rPr>
        <w:t>.</w:t>
      </w:r>
    </w:p>
    <w:p w:rsidR="005B4FA1" w:rsidRPr="005B4FA1" w:rsidRDefault="005B4FA1" w:rsidP="005B4FA1">
      <w:pPr>
        <w:spacing w:line="360" w:lineRule="auto"/>
        <w:jc w:val="both"/>
        <w:rPr>
          <w:rFonts w:ascii="Times New Roman" w:hAnsi="Times New Roman"/>
          <w:szCs w:val="24"/>
          <w:lang w:eastAsia="pl-PL"/>
        </w:rPr>
      </w:pPr>
      <w:r w:rsidRPr="005B4FA1">
        <w:rPr>
          <w:rFonts w:ascii="Times New Roman" w:hAnsi="Times New Roman"/>
          <w:szCs w:val="24"/>
          <w:lang w:eastAsia="pl-PL"/>
        </w:rPr>
        <w:t>Mając na uwadze, że w</w:t>
      </w:r>
      <w:r w:rsidRPr="005B4FA1">
        <w:rPr>
          <w:rFonts w:ascii="Times New Roman" w:hAnsi="Times New Roman"/>
          <w:szCs w:val="24"/>
          <w:shd w:val="clear" w:color="auto" w:fill="FFFFFF"/>
        </w:rPr>
        <w:t>ykonywanie przewozu regularnego lub przewozu regularnego specjalnego z</w:t>
      </w:r>
      <w:r>
        <w:rPr>
          <w:rFonts w:ascii="Times New Roman" w:hAnsi="Times New Roman"/>
          <w:szCs w:val="24"/>
          <w:shd w:val="clear" w:color="auto" w:fill="FFFFFF"/>
        </w:rPr>
        <w:t> </w:t>
      </w:r>
      <w:r w:rsidRPr="005B4FA1">
        <w:rPr>
          <w:rFonts w:ascii="Times New Roman" w:hAnsi="Times New Roman"/>
          <w:szCs w:val="24"/>
          <w:shd w:val="clear" w:color="auto" w:fill="FFFFFF"/>
        </w:rPr>
        <w:t>naruszeniem warunków określonych w zezwoleniu</w:t>
      </w:r>
      <w:r w:rsidRPr="005B4FA1">
        <w:rPr>
          <w:rFonts w:ascii="Times New Roman" w:hAnsi="Times New Roman"/>
          <w:szCs w:val="24"/>
          <w:lang w:eastAsia="pl-PL"/>
        </w:rPr>
        <w:t xml:space="preserve"> stanowi naruszenie o</w:t>
      </w:r>
      <w:r w:rsidRPr="005B4FA1">
        <w:rPr>
          <w:rFonts w:ascii="Times New Roman" w:hAnsi="Times New Roman"/>
          <w:szCs w:val="24"/>
          <w:shd w:val="clear" w:color="auto" w:fill="FFFFFF"/>
        </w:rPr>
        <w:t>bowiązków lub warunków przewozu drogowego</w:t>
      </w:r>
      <w:r w:rsidRPr="005B4FA1">
        <w:rPr>
          <w:rFonts w:ascii="Times New Roman" w:hAnsi="Times New Roman"/>
          <w:szCs w:val="24"/>
          <w:lang w:eastAsia="pl-PL"/>
        </w:rPr>
        <w:t xml:space="preserve"> i zagrożone jest karą pieniężną, zgodnie z art. 92a ust. 1 i załącznikiem nr 3 do ustawy </w:t>
      </w:r>
      <w:r w:rsidRPr="005B4FA1">
        <w:rPr>
          <w:rFonts w:ascii="Times New Roman" w:hAnsi="Times New Roman"/>
          <w:szCs w:val="24"/>
        </w:rPr>
        <w:t xml:space="preserve">o transporcie drogowym, </w:t>
      </w:r>
      <w:r w:rsidRPr="005B4FA1">
        <w:rPr>
          <w:rFonts w:ascii="Times New Roman" w:hAnsi="Times New Roman"/>
          <w:szCs w:val="24"/>
          <w:lang w:eastAsia="pl-PL"/>
        </w:rPr>
        <w:t>zasadnym jest wprowadzenie przepisu konstytuującego instytucję odstępstwa od wykonywania przedmiotowych przewozów zgodnie z</w:t>
      </w:r>
      <w:r>
        <w:rPr>
          <w:rFonts w:ascii="Times New Roman" w:hAnsi="Times New Roman"/>
          <w:szCs w:val="24"/>
          <w:lang w:eastAsia="pl-PL"/>
        </w:rPr>
        <w:t> </w:t>
      </w:r>
      <w:r w:rsidRPr="005B4FA1">
        <w:rPr>
          <w:rFonts w:ascii="Times New Roman" w:hAnsi="Times New Roman"/>
          <w:szCs w:val="24"/>
          <w:lang w:eastAsia="pl-PL"/>
        </w:rPr>
        <w:t>warunkami określonymi w zezwoleniu, na czas występowania zagrożenia rozprzestrzeniania si</w:t>
      </w:r>
      <w:r w:rsidRPr="005B4FA1">
        <w:rPr>
          <w:rFonts w:ascii="Times New Roman" w:eastAsia="Times New Roman" w:hAnsi="Times New Roman"/>
          <w:szCs w:val="24"/>
          <w:lang w:eastAsia="pl-PL"/>
        </w:rPr>
        <w:t>ę</w:t>
      </w:r>
      <w:r w:rsidRPr="005B4FA1">
        <w:rPr>
          <w:rFonts w:ascii="Times New Roman" w:hAnsi="Times New Roman"/>
          <w:szCs w:val="24"/>
          <w:lang w:eastAsia="pl-PL"/>
        </w:rPr>
        <w:t xml:space="preserve"> zaka</w:t>
      </w:r>
      <w:r w:rsidRPr="005B4FA1">
        <w:rPr>
          <w:rFonts w:ascii="Times New Roman" w:eastAsia="Times New Roman" w:hAnsi="Times New Roman"/>
          <w:szCs w:val="24"/>
          <w:lang w:eastAsia="pl-PL"/>
        </w:rPr>
        <w:t>ż</w:t>
      </w:r>
      <w:r w:rsidRPr="005B4FA1">
        <w:rPr>
          <w:rFonts w:ascii="Times New Roman" w:hAnsi="Times New Roman"/>
          <w:szCs w:val="24"/>
          <w:lang w:eastAsia="pl-PL"/>
        </w:rPr>
        <w:t>e</w:t>
      </w:r>
      <w:r w:rsidRPr="005B4FA1">
        <w:rPr>
          <w:rFonts w:ascii="Times New Roman" w:eastAsia="Times New Roman" w:hAnsi="Times New Roman"/>
          <w:szCs w:val="24"/>
          <w:lang w:eastAsia="pl-PL"/>
        </w:rPr>
        <w:t>ń</w:t>
      </w:r>
      <w:r w:rsidRPr="005B4FA1">
        <w:rPr>
          <w:rFonts w:ascii="Times New Roman" w:hAnsi="Times New Roman"/>
          <w:szCs w:val="24"/>
          <w:lang w:eastAsia="pl-PL"/>
        </w:rPr>
        <w:t xml:space="preserve"> </w:t>
      </w:r>
      <w:r>
        <w:rPr>
          <w:rFonts w:ascii="Times New Roman" w:hAnsi="Times New Roman"/>
          <w:szCs w:val="24"/>
          <w:lang w:eastAsia="pl-PL"/>
        </w:rPr>
        <w:t>COVID-19</w:t>
      </w:r>
      <w:r w:rsidRPr="005B4FA1">
        <w:rPr>
          <w:rFonts w:ascii="Times New Roman" w:hAnsi="Times New Roman"/>
          <w:szCs w:val="24"/>
          <w:lang w:eastAsia="pl-PL"/>
        </w:rPr>
        <w:t xml:space="preserve">. </w:t>
      </w:r>
      <w:r w:rsidRPr="005B4FA1">
        <w:rPr>
          <w:rFonts w:ascii="Times New Roman" w:hAnsi="Times New Roman"/>
          <w:szCs w:val="24"/>
        </w:rPr>
        <w:t xml:space="preserve">Zgodnie z projektowanym przepisem, warunki określone w zezwoleniu </w:t>
      </w:r>
      <w:r w:rsidRPr="005B4FA1">
        <w:rPr>
          <w:rFonts w:ascii="Times New Roman" w:hAnsi="Times New Roman"/>
          <w:szCs w:val="24"/>
          <w:lang w:eastAsia="pl-PL"/>
        </w:rPr>
        <w:t>na wykonywanie przewozów regularnych i przewozów regularnych specjalnych</w:t>
      </w:r>
      <w:r w:rsidRPr="005B4FA1">
        <w:rPr>
          <w:rFonts w:ascii="Times New Roman" w:hAnsi="Times New Roman"/>
          <w:szCs w:val="24"/>
        </w:rPr>
        <w:t xml:space="preserve"> nie znajdą zastosowania w przypadku:</w:t>
      </w:r>
    </w:p>
    <w:p w:rsidR="005B4FA1" w:rsidRPr="005B4FA1" w:rsidRDefault="005B4FA1" w:rsidP="00EC324B">
      <w:pPr>
        <w:pStyle w:val="Akapitzlist"/>
        <w:numPr>
          <w:ilvl w:val="0"/>
          <w:numId w:val="6"/>
        </w:numPr>
        <w:spacing w:line="360" w:lineRule="auto"/>
        <w:jc w:val="both"/>
        <w:rPr>
          <w:rFonts w:ascii="Times New Roman" w:hAnsi="Times New Roman"/>
          <w:szCs w:val="24"/>
        </w:rPr>
      </w:pPr>
      <w:r w:rsidRPr="005B4FA1">
        <w:rPr>
          <w:rFonts w:ascii="Times New Roman" w:hAnsi="Times New Roman"/>
          <w:szCs w:val="24"/>
        </w:rPr>
        <w:t xml:space="preserve">konieczności podjęcia czynności związanych </w:t>
      </w:r>
      <w:r>
        <w:rPr>
          <w:rFonts w:ascii="Times New Roman" w:hAnsi="Times New Roman"/>
          <w:szCs w:val="24"/>
        </w:rPr>
        <w:t>z przeciwdziałaniem COVID-19</w:t>
      </w:r>
      <w:r w:rsidRPr="005B4FA1">
        <w:rPr>
          <w:rFonts w:ascii="Times New Roman" w:hAnsi="Times New Roman"/>
          <w:szCs w:val="24"/>
        </w:rPr>
        <w:t>;</w:t>
      </w:r>
    </w:p>
    <w:p w:rsidR="005B4FA1" w:rsidRPr="005B4FA1" w:rsidRDefault="005B4FA1" w:rsidP="00EC324B">
      <w:pPr>
        <w:pStyle w:val="Akapitzlist"/>
        <w:numPr>
          <w:ilvl w:val="0"/>
          <w:numId w:val="6"/>
        </w:numPr>
        <w:spacing w:line="360" w:lineRule="auto"/>
        <w:jc w:val="both"/>
        <w:rPr>
          <w:rFonts w:ascii="Times New Roman" w:hAnsi="Times New Roman"/>
          <w:szCs w:val="24"/>
        </w:rPr>
      </w:pPr>
      <w:r w:rsidRPr="005B4FA1">
        <w:rPr>
          <w:rFonts w:ascii="Times New Roman" w:hAnsi="Times New Roman"/>
          <w:szCs w:val="24"/>
          <w:shd w:val="clear" w:color="auto" w:fill="FFFFFF"/>
        </w:rPr>
        <w:t>braku rentowności</w:t>
      </w:r>
      <w:r>
        <w:rPr>
          <w:rFonts w:ascii="Times New Roman" w:hAnsi="Times New Roman"/>
          <w:szCs w:val="24"/>
          <w:shd w:val="clear" w:color="auto" w:fill="FFFFFF"/>
        </w:rPr>
        <w:t xml:space="preserve"> wykonywanych przewozów, będącego</w:t>
      </w:r>
      <w:r w:rsidRPr="005B4FA1">
        <w:rPr>
          <w:rFonts w:ascii="Times New Roman" w:hAnsi="Times New Roman"/>
          <w:szCs w:val="24"/>
          <w:shd w:val="clear" w:color="auto" w:fill="FFFFFF"/>
        </w:rPr>
        <w:t xml:space="preserve"> skutkiem niezależnych od przedsiębiorcy okoliczności, związanych z </w:t>
      </w:r>
      <w:r>
        <w:rPr>
          <w:rFonts w:ascii="Times New Roman" w:hAnsi="Times New Roman"/>
          <w:szCs w:val="24"/>
          <w:shd w:val="clear" w:color="auto" w:fill="FFFFFF"/>
        </w:rPr>
        <w:t>przeciwdziałaniem COVID-19</w:t>
      </w:r>
      <w:r w:rsidRPr="005B4FA1">
        <w:rPr>
          <w:rFonts w:ascii="Times New Roman" w:hAnsi="Times New Roman"/>
          <w:szCs w:val="24"/>
        </w:rPr>
        <w:t>.</w:t>
      </w:r>
      <w:r w:rsidRPr="005B4FA1">
        <w:rPr>
          <w:rFonts w:ascii="Times New Roman" w:hAnsi="Times New Roman"/>
          <w:szCs w:val="24"/>
          <w:shd w:val="clear" w:color="auto" w:fill="FFFFFF"/>
        </w:rPr>
        <w:t xml:space="preserve"> </w:t>
      </w:r>
    </w:p>
    <w:p w:rsidR="005B4FA1" w:rsidRPr="005B4FA1" w:rsidRDefault="005B4FA1" w:rsidP="005B4FA1">
      <w:pPr>
        <w:shd w:val="clear" w:color="auto" w:fill="FFFFFF"/>
        <w:spacing w:after="0" w:line="360" w:lineRule="auto"/>
        <w:jc w:val="both"/>
        <w:rPr>
          <w:rFonts w:ascii="Times New Roman" w:hAnsi="Times New Roman"/>
          <w:szCs w:val="24"/>
          <w:shd w:val="clear" w:color="auto" w:fill="FFFFFF"/>
        </w:rPr>
      </w:pPr>
      <w:bookmarkStart w:id="0" w:name="mip51248210"/>
      <w:bookmarkEnd w:id="0"/>
      <w:r w:rsidRPr="005B4FA1">
        <w:rPr>
          <w:rFonts w:ascii="Times New Roman" w:hAnsi="Times New Roman"/>
          <w:szCs w:val="24"/>
          <w:shd w:val="clear" w:color="auto" w:fill="FFFFFF"/>
        </w:rPr>
        <w:t>W związku z czym przewoźnicy drogowi będą mogli zaprzestać wykonywania przewozów na określonych liniach bądź wykonywać je niezgodnie z rozkładem jazdy, jeżeli będzie to uzasadnione przedstawionymi powyżej przesłankami, bez obawy, że  nałożona zostanie na nich z tego tytułu kara pieniężna. W takich przypadk</w:t>
      </w:r>
      <w:r>
        <w:rPr>
          <w:rFonts w:ascii="Times New Roman" w:hAnsi="Times New Roman"/>
          <w:szCs w:val="24"/>
          <w:shd w:val="clear" w:color="auto" w:fill="FFFFFF"/>
        </w:rPr>
        <w:t>ach</w:t>
      </w:r>
      <w:r w:rsidRPr="005B4FA1">
        <w:rPr>
          <w:rFonts w:ascii="Times New Roman" w:hAnsi="Times New Roman"/>
          <w:szCs w:val="24"/>
          <w:shd w:val="clear" w:color="auto" w:fill="FFFFFF"/>
        </w:rPr>
        <w:t xml:space="preserve"> nieprzestrzeganie warunków określonych w zezwoleniu, nie będzie stanowiło także podstawy do odmowy udzielenia zezwolenia na wykonywanie przewozów regularnych lub przewozów regularnych specjalnych, ich zmiany bądź cofnięcia.</w:t>
      </w:r>
    </w:p>
    <w:p w:rsidR="009F3DD6" w:rsidRDefault="009F3DD6"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wywiadu środowiskowego:</w:t>
      </w:r>
    </w:p>
    <w:p w:rsidR="009F3DD6" w:rsidRPr="009F3DD6" w:rsidRDefault="009F3DD6" w:rsidP="009F3DD6">
      <w:pPr>
        <w:suppressAutoHyphens/>
        <w:autoSpaceDE w:val="0"/>
        <w:autoSpaceDN w:val="0"/>
        <w:adjustRightInd w:val="0"/>
        <w:spacing w:after="120" w:line="360" w:lineRule="auto"/>
        <w:jc w:val="both"/>
        <w:rPr>
          <w:rFonts w:ascii="Times New Roman" w:hAnsi="Times New Roman"/>
          <w:b/>
          <w:sz w:val="20"/>
          <w:lang w:eastAsia="pl-PL"/>
        </w:rPr>
      </w:pPr>
      <w:r w:rsidRPr="009F3DD6">
        <w:rPr>
          <w:rFonts w:ascii="Times New Roman" w:eastAsia="Times New Roman" w:hAnsi="Times New Roman"/>
          <w:color w:val="222222"/>
          <w:szCs w:val="24"/>
          <w:lang w:eastAsia="pl-PL"/>
        </w:rPr>
        <w:t>Z przyczyn związanych z przeciwdziałaniem COVID-19 w celu ochrony pracowników socjalnych przed narażeniem na zakażenie chorobą zakaźną, a także w celu zapobieżenia rozprzestrzeniania się choroby zakaźnej za pośrednictwem pracownika socjalnego</w:t>
      </w:r>
      <w:r>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proponuje się zniesienie obowiązku przeprowadzenia rodzinnego wywiadu środowiskowego przed wydaniem decyzji w sprawie </w:t>
      </w:r>
      <w:r w:rsidRPr="009F3DD6">
        <w:rPr>
          <w:rFonts w:ascii="Times New Roman" w:eastAsia="Times New Roman" w:hAnsi="Times New Roman"/>
          <w:color w:val="222222"/>
          <w:szCs w:val="24"/>
          <w:lang w:eastAsia="pl-PL"/>
        </w:rPr>
        <w:lastRenderedPageBreak/>
        <w:t>przyznania pomocy społecznej osobom lub rodzinom jej wymagającym i pozostającym w</w:t>
      </w:r>
      <w:r>
        <w:rPr>
          <w:rFonts w:ascii="Times New Roman" w:eastAsia="Times New Roman" w:hAnsi="Times New Roman"/>
          <w:color w:val="222222"/>
          <w:szCs w:val="24"/>
          <w:lang w:eastAsia="pl-PL"/>
        </w:rPr>
        <w:t> </w:t>
      </w:r>
      <w:r w:rsidRPr="009F3DD6">
        <w:rPr>
          <w:rFonts w:ascii="Times New Roman" w:eastAsia="Times New Roman" w:hAnsi="Times New Roman"/>
          <w:color w:val="222222"/>
          <w:szCs w:val="24"/>
          <w:lang w:eastAsia="pl-PL"/>
        </w:rPr>
        <w:t>odosobnieniu ze względu na podejrzenie o zakażenie lub o chorobę zakaźną. Proponuje się</w:t>
      </w:r>
      <w:r>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aby ustalenie sytuacji osobistej rodzinnej, dochodowej i majątkowej mogło nastąpić na podstawie rozmowy telefonicznej przeprowadzonej z pracownikiem socjalnym oraz na podstawie dokumentów, o których mowa w art. 107 ust. 5b ustawy o pomocy społecznej</w:t>
      </w:r>
      <w:r>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a także ich kopi</w:t>
      </w:r>
      <w:r>
        <w:rPr>
          <w:rFonts w:ascii="Times New Roman" w:eastAsia="Times New Roman" w:hAnsi="Times New Roman"/>
          <w:color w:val="222222"/>
          <w:szCs w:val="24"/>
          <w:lang w:eastAsia="pl-PL"/>
        </w:rPr>
        <w:t>i</w:t>
      </w:r>
      <w:r w:rsidRPr="009F3DD6">
        <w:rPr>
          <w:rFonts w:ascii="Times New Roman" w:eastAsia="Times New Roman" w:hAnsi="Times New Roman"/>
          <w:color w:val="222222"/>
          <w:szCs w:val="24"/>
          <w:lang w:eastAsia="pl-PL"/>
        </w:rPr>
        <w:t xml:space="preserve"> </w:t>
      </w:r>
      <w:r w:rsidR="00A952C0">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w tym elektronicznych kopii uzyskanych od osoby lub rodziny ubiegającej się o pomoc</w:t>
      </w:r>
      <w:r w:rsidR="00A952C0">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 lub informacji </w:t>
      </w:r>
      <w:r>
        <w:rPr>
          <w:rFonts w:ascii="Times New Roman" w:eastAsia="Times New Roman" w:hAnsi="Times New Roman"/>
          <w:color w:val="222222"/>
          <w:szCs w:val="24"/>
          <w:lang w:eastAsia="pl-PL"/>
        </w:rPr>
        <w:t>udostępnionych</w:t>
      </w:r>
      <w:r w:rsidRPr="009F3DD6">
        <w:rPr>
          <w:rFonts w:ascii="Times New Roman" w:eastAsia="Times New Roman" w:hAnsi="Times New Roman"/>
          <w:color w:val="222222"/>
          <w:szCs w:val="24"/>
          <w:lang w:eastAsia="pl-PL"/>
        </w:rPr>
        <w:t xml:space="preserve"> w trybie art.</w:t>
      </w:r>
      <w:r w:rsidR="00A952C0">
        <w:rPr>
          <w:rFonts w:ascii="Times New Roman" w:eastAsia="Times New Roman" w:hAnsi="Times New Roman"/>
          <w:color w:val="222222"/>
          <w:szCs w:val="24"/>
          <w:lang w:eastAsia="pl-PL"/>
        </w:rPr>
        <w:t xml:space="preserve"> 105 ustawy o pomocy społecznej</w:t>
      </w:r>
      <w:r w:rsidRPr="009F3DD6">
        <w:rPr>
          <w:rFonts w:ascii="Times New Roman" w:eastAsia="Times New Roman" w:hAnsi="Times New Roman"/>
          <w:color w:val="222222"/>
          <w:szCs w:val="24"/>
          <w:lang w:eastAsia="pl-PL"/>
        </w:rPr>
        <w:t xml:space="preserve"> </w:t>
      </w:r>
      <w:r w:rsidR="00A952C0">
        <w:rPr>
          <w:rFonts w:ascii="Times New Roman" w:eastAsia="Times New Roman" w:hAnsi="Times New Roman"/>
          <w:color w:val="222222"/>
          <w:szCs w:val="24"/>
          <w:lang w:eastAsia="pl-PL"/>
        </w:rPr>
        <w:t>(</w:t>
      </w:r>
      <w:r w:rsidRPr="009F3DD6">
        <w:rPr>
          <w:rFonts w:ascii="Times New Roman" w:eastAsia="Times New Roman" w:hAnsi="Times New Roman"/>
          <w:color w:val="222222"/>
          <w:szCs w:val="24"/>
          <w:lang w:eastAsia="pl-PL"/>
        </w:rPr>
        <w:t xml:space="preserve">tj. na wniosek kierownika ośrodka pomocy społecznej lub dyrektora centrum usług społecznych przez jednostki sektora finansów publicznych, w tym sądy, Policję, Zakład Ubezpieczeń Społecznych, Kasę Rolniczego Ubezpieczenia Społecznego i organy administracji publicznej, a także kuratorów sądowych, pracodawców, podmioty wykonujące działalność leczniczą, przedszkola, szkoły, placówki, szkoły </w:t>
      </w:r>
      <w:r w:rsidR="00A952C0">
        <w:rPr>
          <w:rFonts w:ascii="Times New Roman" w:eastAsia="Times New Roman" w:hAnsi="Times New Roman"/>
          <w:color w:val="222222"/>
          <w:szCs w:val="24"/>
          <w:lang w:eastAsia="pl-PL"/>
        </w:rPr>
        <w:t>wyższe, organizacje pozarządowe</w:t>
      </w:r>
      <w:r w:rsidRPr="009F3DD6">
        <w:rPr>
          <w:rFonts w:ascii="Times New Roman" w:eastAsia="Times New Roman" w:hAnsi="Times New Roman"/>
          <w:color w:val="222222"/>
          <w:szCs w:val="24"/>
          <w:lang w:eastAsia="pl-PL"/>
        </w:rPr>
        <w:t xml:space="preserve"> </w:t>
      </w:r>
      <w:r w:rsidR="00A952C0">
        <w:rPr>
          <w:rFonts w:ascii="Times New Roman" w:eastAsia="Times New Roman" w:hAnsi="Times New Roman"/>
          <w:color w:val="222222"/>
          <w:szCs w:val="24"/>
          <w:lang w:eastAsia="pl-PL"/>
        </w:rPr>
        <w:t>itp.)</w:t>
      </w:r>
      <w:r w:rsidRPr="009F3DD6">
        <w:rPr>
          <w:rFonts w:ascii="Times New Roman" w:eastAsia="Times New Roman" w:hAnsi="Times New Roman"/>
          <w:color w:val="222222"/>
          <w:szCs w:val="24"/>
          <w:lang w:eastAsia="pl-PL"/>
        </w:rPr>
        <w:t>.</w:t>
      </w:r>
    </w:p>
    <w:p w:rsidR="00E54EDD" w:rsidRDefault="00E54ED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podatku od nieruchomości:</w:t>
      </w:r>
    </w:p>
    <w:p w:rsidR="002E1C35" w:rsidRDefault="002E1C35" w:rsidP="00E54EDD">
      <w:pPr>
        <w:suppressAutoHyphens/>
        <w:autoSpaceDE w:val="0"/>
        <w:autoSpaceDN w:val="0"/>
        <w:adjustRightInd w:val="0"/>
        <w:spacing w:after="120" w:line="360" w:lineRule="auto"/>
        <w:jc w:val="both"/>
        <w:rPr>
          <w:rFonts w:ascii="Times New Roman" w:eastAsia="Times New Roman" w:hAnsi="Times New Roman"/>
          <w:bCs/>
          <w:sz w:val="24"/>
          <w:szCs w:val="20"/>
          <w:lang w:eastAsia="pl-PL"/>
        </w:rPr>
      </w:pPr>
      <w:r w:rsidRPr="00682383">
        <w:rPr>
          <w:rFonts w:ascii="Times New Roman" w:eastAsia="Times New Roman" w:hAnsi="Times New Roman"/>
          <w:bCs/>
          <w:sz w:val="24"/>
          <w:szCs w:val="20"/>
          <w:lang w:eastAsia="pl-PL"/>
        </w:rPr>
        <w:t>Projektowany przepis umożliwi gminom wprowadzenie z</w:t>
      </w:r>
      <w:r>
        <w:rPr>
          <w:rFonts w:ascii="Times New Roman" w:eastAsia="Times New Roman" w:hAnsi="Times New Roman"/>
          <w:bCs/>
          <w:sz w:val="24"/>
          <w:szCs w:val="20"/>
          <w:lang w:eastAsia="pl-PL"/>
        </w:rPr>
        <w:t>a część roku 2020, zwolnienia z </w:t>
      </w:r>
      <w:r w:rsidRPr="00682383">
        <w:rPr>
          <w:rFonts w:ascii="Times New Roman" w:eastAsia="Times New Roman" w:hAnsi="Times New Roman"/>
          <w:bCs/>
          <w:sz w:val="24"/>
          <w:szCs w:val="20"/>
          <w:lang w:eastAsia="pl-PL"/>
        </w:rPr>
        <w:t>podatku od nieruchomości: gruntów, budynków i budowli związanych z prowadzeniem działalności gospodarczej, wskazanym grupom przedsiębiorców, których płynność finansowa uległa pogorszeniu w związku z ponoszeniem negatywny</w:t>
      </w:r>
      <w:r>
        <w:rPr>
          <w:rFonts w:ascii="Times New Roman" w:eastAsia="Times New Roman" w:hAnsi="Times New Roman"/>
          <w:bCs/>
          <w:sz w:val="24"/>
          <w:szCs w:val="20"/>
          <w:lang w:eastAsia="pl-PL"/>
        </w:rPr>
        <w:t>ch konsekwencji ekonomicznych z </w:t>
      </w:r>
      <w:r w:rsidRPr="00682383">
        <w:rPr>
          <w:rFonts w:ascii="Times New Roman" w:eastAsia="Times New Roman" w:hAnsi="Times New Roman"/>
          <w:bCs/>
          <w:sz w:val="24"/>
          <w:szCs w:val="20"/>
          <w:lang w:eastAsia="pl-PL"/>
        </w:rPr>
        <w:t>powodu COVID-19. Propozycja ta pozwoli gminom, w ramach ich autonomii podatkowej, wprowadzić rozwiązania w zakresie podatku od nieruchomości, które nakierowane będą na pomoc dla przedsiębiorców poszkodowanych prz</w:t>
      </w:r>
      <w:r>
        <w:rPr>
          <w:rFonts w:ascii="Times New Roman" w:eastAsia="Times New Roman" w:hAnsi="Times New Roman"/>
          <w:bCs/>
          <w:sz w:val="24"/>
          <w:szCs w:val="20"/>
          <w:lang w:eastAsia="pl-PL"/>
        </w:rPr>
        <w:t xml:space="preserve">ez COVID-19, </w:t>
      </w:r>
      <w:r w:rsidRPr="00682383">
        <w:rPr>
          <w:rFonts w:ascii="Times New Roman" w:eastAsia="Times New Roman" w:hAnsi="Times New Roman"/>
          <w:bCs/>
          <w:sz w:val="24"/>
          <w:szCs w:val="20"/>
          <w:lang w:eastAsia="pl-PL"/>
        </w:rPr>
        <w:t>a w konsekwencji będą miały pozytywny wpływ na sytuację ekonomiczną tych przedsiębiorców i przyczynią się do po</w:t>
      </w:r>
      <w:r>
        <w:rPr>
          <w:rFonts w:ascii="Times New Roman" w:eastAsia="Times New Roman" w:hAnsi="Times New Roman"/>
          <w:bCs/>
          <w:sz w:val="24"/>
          <w:szCs w:val="20"/>
          <w:lang w:eastAsia="pl-PL"/>
        </w:rPr>
        <w:t>prawy ich płynności finansowej.</w:t>
      </w:r>
    </w:p>
    <w:p w:rsidR="00E54EDD" w:rsidRPr="00E54EDD" w:rsidRDefault="00E54EDD" w:rsidP="00E54EDD">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Ponadto umożliwia się </w:t>
      </w:r>
      <w:r w:rsidRPr="00E54EDD">
        <w:rPr>
          <w:rFonts w:ascii="Times New Roman" w:hAnsi="Times New Roman"/>
          <w:lang w:eastAsia="pl-PL"/>
        </w:rPr>
        <w:t>organ</w:t>
      </w:r>
      <w:r>
        <w:rPr>
          <w:rFonts w:ascii="Times New Roman" w:hAnsi="Times New Roman"/>
          <w:lang w:eastAsia="pl-PL"/>
        </w:rPr>
        <w:t>om</w:t>
      </w:r>
      <w:r w:rsidRPr="00E54EDD">
        <w:rPr>
          <w:rFonts w:ascii="Times New Roman" w:hAnsi="Times New Roman"/>
          <w:lang w:eastAsia="pl-PL"/>
        </w:rPr>
        <w:t xml:space="preserve"> wykonawczy</w:t>
      </w:r>
      <w:r>
        <w:rPr>
          <w:rFonts w:ascii="Times New Roman" w:hAnsi="Times New Roman"/>
          <w:lang w:eastAsia="pl-PL"/>
        </w:rPr>
        <w:t xml:space="preserve">m gmin przedłużenie </w:t>
      </w:r>
      <w:r w:rsidRPr="00E54EDD">
        <w:rPr>
          <w:rFonts w:ascii="Times New Roman" w:hAnsi="Times New Roman"/>
          <w:lang w:eastAsia="pl-PL"/>
        </w:rPr>
        <w:t>terminów płatności rat podatku od nieruchomości, płatnych w kwietniu, maju i czerwcu 2020 r. - nie dłużej niż do 30 września tego roku. W przypadku osób fizycznych rozwiązanie to dotyczyć będzie raty podatku płatnej do dnia 15 maja, natomiast w przypadku osób prawnych, rat podatku płatnych do: 15 kwietnia, 15 maja i 15 czerwca 2020 r.</w:t>
      </w:r>
    </w:p>
    <w:p w:rsidR="00E06C04" w:rsidRDefault="00E06C04"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podatku od czynności cywilnoprawnych:</w:t>
      </w:r>
    </w:p>
    <w:p w:rsidR="00E06C04" w:rsidRPr="00E06C04" w:rsidRDefault="00E06C04" w:rsidP="00E06C04">
      <w:pPr>
        <w:suppressAutoHyphens/>
        <w:autoSpaceDE w:val="0"/>
        <w:autoSpaceDN w:val="0"/>
        <w:adjustRightInd w:val="0"/>
        <w:spacing w:after="120" w:line="360" w:lineRule="auto"/>
        <w:jc w:val="both"/>
        <w:rPr>
          <w:rFonts w:ascii="Times New Roman" w:hAnsi="Times New Roman"/>
          <w:lang w:eastAsia="pl-PL"/>
        </w:rPr>
      </w:pPr>
      <w:r w:rsidRPr="00E06C04">
        <w:rPr>
          <w:rFonts w:ascii="Times New Roman" w:hAnsi="Times New Roman"/>
          <w:lang w:eastAsia="pl-PL"/>
        </w:rPr>
        <w:t>Umowa pożyczki jest przedmiotem podatku od czynności cywilnoprawnych wg stawki 0,5% kwoty pożyczki. Zaciąganie pożyczek może stanowić źródło finansowania</w:t>
      </w:r>
      <w:r>
        <w:rPr>
          <w:rFonts w:ascii="Times New Roman" w:hAnsi="Times New Roman"/>
          <w:lang w:eastAsia="pl-PL"/>
        </w:rPr>
        <w:t xml:space="preserve"> działalności przedsiębiorców w </w:t>
      </w:r>
      <w:r w:rsidRPr="00E06C04">
        <w:rPr>
          <w:rFonts w:ascii="Times New Roman" w:hAnsi="Times New Roman"/>
          <w:lang w:eastAsia="pl-PL"/>
        </w:rPr>
        <w:t xml:space="preserve">okresie spowolnienia gospodarczego. Zwolnienie z podatku takich umów będzie miało pozytywny wpływ na ich płynność finansową, co jest pożądane w obliczu nieprzewidywalności skutków gospodarczych wynikłych z ograniczeń działalności będących następstwem </w:t>
      </w:r>
      <w:r>
        <w:rPr>
          <w:rFonts w:ascii="Times New Roman" w:hAnsi="Times New Roman"/>
          <w:lang w:eastAsia="pl-PL"/>
        </w:rPr>
        <w:t>COVID-19</w:t>
      </w:r>
      <w:r w:rsidRPr="00E06C04">
        <w:rPr>
          <w:rFonts w:ascii="Times New Roman" w:hAnsi="Times New Roman"/>
          <w:lang w:eastAsia="pl-PL"/>
        </w:rPr>
        <w:t>.</w:t>
      </w:r>
    </w:p>
    <w:p w:rsidR="00627051" w:rsidRDefault="00627051"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umów w sprawie zamówień publicznych:</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lastRenderedPageBreak/>
        <w:t>Sytuacja epidemiologiczna spowodowana COVID</w:t>
      </w:r>
      <w:r>
        <w:rPr>
          <w:rFonts w:ascii="Times New Roman" w:hAnsi="Times New Roman"/>
        </w:rPr>
        <w:t>-</w:t>
      </w:r>
      <w:r w:rsidRPr="00627051">
        <w:rPr>
          <w:rFonts w:ascii="Times New Roman" w:hAnsi="Times New Roman"/>
        </w:rPr>
        <w:t>19 może wywierać negatywny wpływ na prawidłowe wykonanie umów w sprawie zamówień publicznych. Występujące ograniczenia w dostępie do materiałów niezbędnych do realizacji zamówień, czy też brak wystarczającej liczby pracowników, stanowią jeden z wielu czynników związanych z występowaniem COVID-19 obniżających zdolność wykonawców do prawidłowego spełnienia świadczeń wynikających z umów w sprawie zamówień publicznych. Ewentualne naruszenia przez wykonawców obowiązków umownych, np.</w:t>
      </w:r>
      <w:r>
        <w:rPr>
          <w:rFonts w:ascii="Times New Roman" w:hAnsi="Times New Roman"/>
        </w:rPr>
        <w:t xml:space="preserve"> w </w:t>
      </w:r>
      <w:r w:rsidRPr="00627051">
        <w:rPr>
          <w:rFonts w:ascii="Times New Roman" w:hAnsi="Times New Roman"/>
        </w:rPr>
        <w:t>zakresie terminu spełnienia świadczenia, mogą być kwalifikowane przez zamawiających jako niewykonanie lub nienależyte wykonanie umowy. Może to oznaczać przypisywanie wykonawcom odpowiedzialności odszkodowawczej, uprawniającej np.</w:t>
      </w:r>
      <w:r>
        <w:rPr>
          <w:rFonts w:ascii="Times New Roman" w:hAnsi="Times New Roman"/>
        </w:rPr>
        <w:t xml:space="preserve"> </w:t>
      </w:r>
      <w:r w:rsidRPr="00627051">
        <w:rPr>
          <w:rFonts w:ascii="Times New Roman" w:hAnsi="Times New Roman"/>
        </w:rPr>
        <w:t>do egzekwowania przewidzianych kar umownych, w sytuacji gdy nieprawidłowe wykonanie umów spowodowane było</w:t>
      </w:r>
      <w:r>
        <w:rPr>
          <w:rFonts w:ascii="Times New Roman" w:hAnsi="Times New Roman"/>
        </w:rPr>
        <w:t xml:space="preserve"> przez</w:t>
      </w:r>
      <w:r w:rsidRPr="00627051">
        <w:rPr>
          <w:rFonts w:ascii="Times New Roman" w:hAnsi="Times New Roman"/>
        </w:rPr>
        <w:t xml:space="preserve"> okoliczności związan</w:t>
      </w:r>
      <w:r>
        <w:rPr>
          <w:rFonts w:ascii="Times New Roman" w:hAnsi="Times New Roman"/>
        </w:rPr>
        <w:t>e</w:t>
      </w:r>
      <w:r w:rsidRPr="00627051">
        <w:rPr>
          <w:rFonts w:ascii="Times New Roman" w:hAnsi="Times New Roman"/>
        </w:rPr>
        <w:t xml:space="preserve"> bezpośrednio z występowaniem COVID-19, a więc niezależnymi i zewnętrznymi wobec wykonawców.</w:t>
      </w:r>
    </w:p>
    <w:p w:rsidR="00627051" w:rsidRDefault="00627051" w:rsidP="00627051">
      <w:pPr>
        <w:spacing w:after="120" w:line="360" w:lineRule="auto"/>
        <w:jc w:val="both"/>
        <w:rPr>
          <w:rFonts w:ascii="Times New Roman" w:hAnsi="Times New Roman"/>
        </w:rPr>
      </w:pPr>
      <w:r w:rsidRPr="00627051">
        <w:rPr>
          <w:rFonts w:ascii="Times New Roman" w:hAnsi="Times New Roman"/>
        </w:rPr>
        <w:t>W związku z powyższym projekt ustawy przewiduje</w:t>
      </w:r>
      <w:r>
        <w:rPr>
          <w:rFonts w:ascii="Times New Roman" w:hAnsi="Times New Roman"/>
        </w:rPr>
        <w:t>:</w:t>
      </w:r>
    </w:p>
    <w:p w:rsidR="00627051" w:rsidRPr="00627051" w:rsidRDefault="00627051" w:rsidP="00EC324B">
      <w:pPr>
        <w:pStyle w:val="Akapitzlist"/>
        <w:numPr>
          <w:ilvl w:val="0"/>
          <w:numId w:val="12"/>
        </w:numPr>
        <w:spacing w:after="120" w:line="360" w:lineRule="auto"/>
        <w:jc w:val="both"/>
        <w:rPr>
          <w:rFonts w:ascii="Times New Roman" w:hAnsi="Times New Roman"/>
        </w:rPr>
      </w:pPr>
      <w:r w:rsidRPr="00627051">
        <w:rPr>
          <w:rFonts w:ascii="Times New Roman" w:hAnsi="Times New Roman"/>
        </w:rPr>
        <w:t>możliwość dostosowania treści łączącego strony stosunku prawnego do zmian warunków społeczno-gospodarczych wywołanych przez COVID-</w:t>
      </w:r>
      <w:r>
        <w:rPr>
          <w:rFonts w:ascii="Times New Roman" w:hAnsi="Times New Roman"/>
        </w:rPr>
        <w:t>19,</w:t>
      </w:r>
    </w:p>
    <w:p w:rsidR="00627051" w:rsidRPr="00627051" w:rsidRDefault="00627051" w:rsidP="00EC324B">
      <w:pPr>
        <w:pStyle w:val="Akapitzlist"/>
        <w:numPr>
          <w:ilvl w:val="0"/>
          <w:numId w:val="12"/>
        </w:numPr>
        <w:spacing w:after="120" w:line="360" w:lineRule="auto"/>
        <w:jc w:val="both"/>
        <w:rPr>
          <w:rFonts w:ascii="Times New Roman" w:hAnsi="Times New Roman"/>
        </w:rPr>
      </w:pPr>
      <w:r w:rsidRPr="00627051">
        <w:rPr>
          <w:rFonts w:ascii="Times New Roman" w:hAnsi="Times New Roman"/>
        </w:rPr>
        <w:t>wyłączenie odpowiedzialności zamawiających, w tym zamawiających sektorowych, za odstąpienie od ustalenia i</w:t>
      </w:r>
      <w:r>
        <w:rPr>
          <w:rFonts w:ascii="Times New Roman" w:hAnsi="Times New Roman"/>
        </w:rPr>
        <w:t xml:space="preserve"> </w:t>
      </w:r>
      <w:r w:rsidRPr="00627051">
        <w:rPr>
          <w:rFonts w:ascii="Times New Roman" w:hAnsi="Times New Roman"/>
        </w:rPr>
        <w:t>dochodzenia od wykonawców należności (np.</w:t>
      </w:r>
      <w:r>
        <w:rPr>
          <w:rFonts w:ascii="Times New Roman" w:hAnsi="Times New Roman"/>
        </w:rPr>
        <w:t xml:space="preserve"> </w:t>
      </w:r>
      <w:r w:rsidRPr="00627051">
        <w:rPr>
          <w:rFonts w:ascii="Times New Roman" w:hAnsi="Times New Roman"/>
        </w:rPr>
        <w:t>kar</w:t>
      </w:r>
      <w:r>
        <w:rPr>
          <w:rFonts w:ascii="Times New Roman" w:hAnsi="Times New Roman"/>
        </w:rPr>
        <w:t xml:space="preserve"> </w:t>
      </w:r>
      <w:r w:rsidRPr="00627051">
        <w:rPr>
          <w:rFonts w:ascii="Times New Roman" w:hAnsi="Times New Roman"/>
        </w:rPr>
        <w:t>umownych) lub dokonanie zmiany umowy, na zasadach określonych w projekcie.</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Kontynuowanie wykonania umowy o udzielenie zamówienia publicznego w okresie występowania COVID-19 może być uzależnione od odpowiedniej modyfikacji treści łączącego je stosunku prawnego. Dokonanie takiej modyfikacji, po wystąpieniu okoliczności wywołanych COVID-19, ale również zanim dojdzie do naruszenia przez którąkolwiek ze stron umowy pierwotnych warunków wykonania umowy, pozwoli uniknąć potencjalnych sporów na tle odpowiedzialności odszkodowawczej za niewykonanie lub nienależyte wykonanie umowy.</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 xml:space="preserve">Do podjęcia wspomnianych działań niezbędne jest jednak dysponowanie aktualną wiedzą w zakresie wpływu okoliczności związanych z COVID-19 na proces realizacji konkretnego przedmiotu zamówienia. Dlatego też, projekt ustawy nakłada na każdą ze stron umowy, </w:t>
      </w:r>
      <w:r>
        <w:rPr>
          <w:rFonts w:ascii="Times New Roman" w:hAnsi="Times New Roman"/>
        </w:rPr>
        <w:t xml:space="preserve">tj. </w:t>
      </w:r>
      <w:r w:rsidRPr="00627051">
        <w:rPr>
          <w:rFonts w:ascii="Times New Roman" w:hAnsi="Times New Roman"/>
        </w:rPr>
        <w:t>zarówno wykonawcę</w:t>
      </w:r>
      <w:r>
        <w:rPr>
          <w:rFonts w:ascii="Times New Roman" w:hAnsi="Times New Roman"/>
        </w:rPr>
        <w:t xml:space="preserve">, jak i </w:t>
      </w:r>
      <w:r w:rsidRPr="00627051">
        <w:rPr>
          <w:rFonts w:ascii="Times New Roman" w:hAnsi="Times New Roman"/>
        </w:rPr>
        <w:t xml:space="preserve">zamawiającego, obowiązek niezwłocznego informowania drugiej strony o wpływie ww. okoliczności na należyte wykonanie umowy, o ile oczywiście taki wpływ wystąpił lub może wystąpić w przyszłości. </w:t>
      </w:r>
      <w:r>
        <w:rPr>
          <w:rFonts w:ascii="Times New Roman" w:hAnsi="Times New Roman"/>
        </w:rPr>
        <w:t>Sytuacja taka może wystąpić np.</w:t>
      </w:r>
      <w:r w:rsidRPr="00627051">
        <w:rPr>
          <w:rFonts w:ascii="Times New Roman" w:hAnsi="Times New Roman"/>
        </w:rPr>
        <w:t xml:space="preserve"> gdy </w:t>
      </w:r>
      <w:r>
        <w:rPr>
          <w:rFonts w:ascii="Times New Roman" w:hAnsi="Times New Roman"/>
        </w:rPr>
        <w:t xml:space="preserve">strona </w:t>
      </w:r>
      <w:r w:rsidRPr="00627051">
        <w:rPr>
          <w:rFonts w:ascii="Times New Roman" w:hAnsi="Times New Roman"/>
        </w:rPr>
        <w:t>stwierdzi brak możliwości odebrania przedmiotu zamówienia ze względu na przejściowy brak pracowników. Niezwłoczne</w:t>
      </w:r>
      <w:r w:rsidRPr="00627051">
        <w:rPr>
          <w:rFonts w:ascii="Times New Roman" w:hAnsi="Times New Roman"/>
          <w:i/>
        </w:rPr>
        <w:t xml:space="preserve"> </w:t>
      </w:r>
      <w:r w:rsidRPr="00627051">
        <w:rPr>
          <w:rFonts w:ascii="Times New Roman" w:hAnsi="Times New Roman"/>
        </w:rPr>
        <w:t>poinformowanie drugiej strony stworzy szansę na odpowiednio szybkie podjęcie działań, a przez to zwiększenie ich efektywności. Należy również podkreślić, że powyższy obowiązek informacyjny będzie dotyczył wyłącznie okoliczności, które mają lub mogą mieć w przyszłości wpływ na realizację konkretnego zamówienia. Nie obejmuje on tym samym</w:t>
      </w:r>
      <w:r>
        <w:rPr>
          <w:rFonts w:ascii="Times New Roman" w:hAnsi="Times New Roman"/>
        </w:rPr>
        <w:t xml:space="preserve"> </w:t>
      </w:r>
      <w:r w:rsidRPr="00627051">
        <w:rPr>
          <w:rFonts w:ascii="Times New Roman" w:hAnsi="Times New Roman"/>
        </w:rPr>
        <w:t xml:space="preserve">zdarzeń o charakterze generalnym, </w:t>
      </w:r>
      <w:r w:rsidRPr="00627051">
        <w:rPr>
          <w:rFonts w:ascii="Times New Roman" w:hAnsi="Times New Roman"/>
        </w:rPr>
        <w:lastRenderedPageBreak/>
        <w:t>powszechnym, co prawda związanych z występowaniem COVID-19, lecz nie odziaływujących negatywnie na proces wykonania</w:t>
      </w:r>
      <w:r>
        <w:rPr>
          <w:rFonts w:ascii="Times New Roman" w:hAnsi="Times New Roman"/>
        </w:rPr>
        <w:t xml:space="preserve"> danego zamówienia.</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Przekazując powyższe informacje, strona umowy nie będzie mogła ograniczyć się wyłączenie do wskazania okoliczności, które w jej ocenie mają lub będą mogły mieć wpływ na należyte wykonanie umowy. Dlatego też, zgodnie z projektem</w:t>
      </w:r>
      <w:r>
        <w:rPr>
          <w:rFonts w:ascii="Times New Roman" w:hAnsi="Times New Roman"/>
        </w:rPr>
        <w:t>,</w:t>
      </w:r>
      <w:r w:rsidRPr="00627051">
        <w:rPr>
          <w:rFonts w:ascii="Times New Roman" w:hAnsi="Times New Roman"/>
        </w:rPr>
        <w:t xml:space="preserve"> strona umowy przekazująca stosowne informacje będzie zobowiązana potwierdzić istnienie takiego wpływu. Inaczej mówiąc, będzie zobligowana wykazać istnienie związku pomiędzy okolicznościami wywołanymi COVID-19 a niemożliwością należytego wykonania danej umowy. W</w:t>
      </w:r>
      <w:r>
        <w:rPr>
          <w:rFonts w:ascii="Times New Roman" w:hAnsi="Times New Roman"/>
        </w:rPr>
        <w:t xml:space="preserve"> </w:t>
      </w:r>
      <w:r w:rsidRPr="00627051">
        <w:rPr>
          <w:rFonts w:ascii="Times New Roman" w:hAnsi="Times New Roman"/>
        </w:rPr>
        <w:t xml:space="preserve">tym celu </w:t>
      </w:r>
      <w:r>
        <w:rPr>
          <w:rFonts w:ascii="Times New Roman" w:hAnsi="Times New Roman"/>
        </w:rPr>
        <w:t xml:space="preserve">strona umowy będzie </w:t>
      </w:r>
      <w:r w:rsidRPr="00627051">
        <w:rPr>
          <w:rFonts w:ascii="Times New Roman" w:hAnsi="Times New Roman"/>
        </w:rPr>
        <w:t>mogła posłużyć się oświadczeniami (własnymi lub osób trzecich) lub dokumentami, w tym dokumentami w posta</w:t>
      </w:r>
      <w:r>
        <w:rPr>
          <w:rFonts w:ascii="Times New Roman" w:hAnsi="Times New Roman"/>
        </w:rPr>
        <w:t>ci elektronicznej (np. wiadomością</w:t>
      </w:r>
      <w:r w:rsidRPr="00627051">
        <w:rPr>
          <w:rFonts w:ascii="Times New Roman" w:hAnsi="Times New Roman"/>
        </w:rPr>
        <w:t xml:space="preserve"> e-mail). W przypadku niepr</w:t>
      </w:r>
      <w:r>
        <w:rPr>
          <w:rFonts w:ascii="Times New Roman" w:hAnsi="Times New Roman"/>
        </w:rPr>
        <w:t xml:space="preserve">zedstawienia oświadczeń i </w:t>
      </w:r>
      <w:r w:rsidRPr="00627051">
        <w:rPr>
          <w:rFonts w:ascii="Times New Roman" w:hAnsi="Times New Roman"/>
        </w:rPr>
        <w:t>dokumentów druga strony umowy nie będzie miała obowiązku wzywania do ich uzupełnienia. Natomiast jeżeli załączone oświadczenia i dokumenty będą niewystarczające do dokonania oceny wpływu okoliczności związanych z COVID-19 na możliwość należytego wykonania umowy, strona umowy zobowiązana do dokonania oceny będzie uprawniona do żądania przedstawienia dodatk</w:t>
      </w:r>
      <w:r>
        <w:rPr>
          <w:rFonts w:ascii="Times New Roman" w:hAnsi="Times New Roman"/>
        </w:rPr>
        <w:t xml:space="preserve">owych oświadczeń lub dokumentów. </w:t>
      </w:r>
      <w:r w:rsidRPr="00627051">
        <w:rPr>
          <w:rFonts w:ascii="Times New Roman" w:hAnsi="Times New Roman"/>
        </w:rPr>
        <w:t xml:space="preserve">Możliwe będzie również dokonanie </w:t>
      </w:r>
      <w:r>
        <w:rPr>
          <w:rFonts w:ascii="Times New Roman" w:hAnsi="Times New Roman"/>
        </w:rPr>
        <w:t>samo</w:t>
      </w:r>
      <w:r w:rsidRPr="00627051">
        <w:rPr>
          <w:rFonts w:ascii="Times New Roman" w:hAnsi="Times New Roman"/>
        </w:rPr>
        <w:t>uzupełn</w:t>
      </w:r>
      <w:r>
        <w:rPr>
          <w:rFonts w:ascii="Times New Roman" w:hAnsi="Times New Roman"/>
        </w:rPr>
        <w:t>ienia oświadczeń i dokumentów.</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Projekt ustawy przewiduje katalog okoliczności związanych z występowaniem COVID-19, których mogą dotyczyć oświadczenia i dokumenty składane przez stronę umowy. Przedmiotowy katalog nie stanowi wyczerpującego wyliczenia, ujęto w nim jedynie okoliczności, których odziaływanie na prawidłowość realizacji umów w sprawie zamówień publicznych może mieć charakter powszechny. Strona umowy potwierdzając wpływ sytuacji epidemiologicznej związanej z COVID-19 na jej zdolność wykonania umowy w sprawie zamówienia publicznego będzie mogła zatem powołać się na każdą okoliczności, która w jej ocenie uniemożliwia jej zrealizowanie udzi</w:t>
      </w:r>
      <w:r w:rsidR="005435A1">
        <w:rPr>
          <w:rFonts w:ascii="Times New Roman" w:hAnsi="Times New Roman"/>
        </w:rPr>
        <w:t>elonego zamówienia publicznego.</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Strona umowy po otrzymaniu informacji</w:t>
      </w:r>
      <w:r w:rsidR="005435A1">
        <w:rPr>
          <w:rFonts w:ascii="Times New Roman" w:hAnsi="Times New Roman"/>
        </w:rPr>
        <w:t xml:space="preserve"> </w:t>
      </w:r>
      <w:r w:rsidRPr="00627051">
        <w:rPr>
          <w:rFonts w:ascii="Times New Roman" w:hAnsi="Times New Roman"/>
        </w:rPr>
        <w:t>będzie zobligowana do dokonania, w oparciu o znajdujące się w jej posiadaniu oświadczenia i dokumenty, oceny wpływu wskazanych okoliczności na należyte wykonanie danej umowy o udzielenie zamówienia publicznego. Niedopuszczalne będzie pozostawienie otrzymanych informacji bez rozpatrzenia i przekazania drugiej stronie stosownego stanowiska. Informując drugą stronę umowy o swoim stanowisku strona umowy będzie zobowiązana przedstawić odpowiednie uzasadnienie, w którym w sposób jasny i precyzyjny odniesie się do kwestii wpływu okoliczności związanych z COVID-19 na należyte wykonanie umowy. Wskazane w projekcie ustawy terminy na przekazanie stanowiska mają na celu przeciwdziałać przewlekłości dzia</w:t>
      </w:r>
      <w:r w:rsidR="005435A1">
        <w:rPr>
          <w:rFonts w:ascii="Times New Roman" w:hAnsi="Times New Roman"/>
        </w:rPr>
        <w:t>łań podejmowanych przez strony.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 xml:space="preserve">Jeżeli zamawiający stwierdzi, że okoliczności związane z wirusem COVID-19 wskazane przez wykonawcę wpływają lub mogą wpłynąć na należyte wykonanie danej umowy, będzie miał możliwość rozpoczęcia dialogu z wykonawcą, w celu uzgodnienia odpowiednich zmian umowy. </w:t>
      </w:r>
      <w:r w:rsidRPr="00627051">
        <w:rPr>
          <w:rFonts w:ascii="Times New Roman" w:hAnsi="Times New Roman"/>
        </w:rPr>
        <w:lastRenderedPageBreak/>
        <w:t>Decyzja odnośnie rozpoczęcia dialogu powinna być podjęta w oparciu o wszechstronną analizę stanu faktycznego i prawnego danej sprawy. Projektowana regulacja, stwarzając stronom możliwość zmiany warunków wykonania umowy, tak aby dostosować je do aktualnych okoliczności spowodowanych COVID-19, ma w swym założeniu umożliwiać kontynuowanie r</w:t>
      </w:r>
      <w:r w:rsidR="005435A1">
        <w:rPr>
          <w:rFonts w:ascii="Times New Roman" w:hAnsi="Times New Roman"/>
        </w:rPr>
        <w:t>ealizacji zamówień publicznych.</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 xml:space="preserve">W projekcie ustawy przewiduje się, że katalog dopuszczalnych zmian umowy w sprawie zamówienia publicznego będzie miał charakter otwarty. Oznacza to, że strony umowy będę mogły dokonać modyfikacji jej postanowień w zakresie wykraczającym poza granice wskazane w projekcie ustawy, jeżeli pozwoli to na dalszą realizację zamówienia publicznego. </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Zgodnie z projektem ustawy zmiana umowy będzie mogła dotyczyć, w szczególności:</w:t>
      </w:r>
    </w:p>
    <w:p w:rsidR="00627051" w:rsidRPr="00627051" w:rsidRDefault="00627051" w:rsidP="00EC324B">
      <w:pPr>
        <w:pStyle w:val="Akapitzlist"/>
        <w:numPr>
          <w:ilvl w:val="0"/>
          <w:numId w:val="13"/>
        </w:numPr>
        <w:tabs>
          <w:tab w:val="left" w:pos="284"/>
          <w:tab w:val="left" w:pos="567"/>
        </w:tabs>
        <w:spacing w:after="120" w:line="360" w:lineRule="auto"/>
        <w:jc w:val="both"/>
        <w:rPr>
          <w:rFonts w:ascii="Times New Roman" w:hAnsi="Times New Roman"/>
        </w:rPr>
      </w:pPr>
      <w:r w:rsidRPr="00627051">
        <w:rPr>
          <w:rFonts w:ascii="Times New Roman" w:hAnsi="Times New Roman"/>
        </w:rPr>
        <w:t>zmiany terminu wykonania umowy lub jej części, lub czasowego zawieszenia wykonania umowy lub jej części. Tym samym w przypadku pojawienia się przejściowych problemów z wykonaniem umowy, które spowodowane będą okolicznościami związanymi z </w:t>
      </w:r>
      <w:r w:rsidR="005435A1">
        <w:rPr>
          <w:rFonts w:ascii="Times New Roman" w:hAnsi="Times New Roman"/>
        </w:rPr>
        <w:t>COVID–</w:t>
      </w:r>
      <w:r w:rsidRPr="00627051">
        <w:rPr>
          <w:rFonts w:ascii="Times New Roman" w:hAnsi="Times New Roman"/>
        </w:rPr>
        <w:t>19 (np. zakłócenia w łańcuchu dostaw, brak wystarczającej liczby pracowników), strony będą uprawnione do ukształtowania na nowo kwestii związanych z momentem zakończenia realizacji przedmiotu zamówienia. Strony umowy będą mogły zawiesić realizację umowy lub jej części, tj. wstrzymać się z działaniami zmierzającymi do wykonania umowy do czasy ustania przyczyn zwieszenia, albo kontynuować realizację umowy lub jej części z uwzględnieniem ograniczeń wynikających z</w:t>
      </w:r>
      <w:r w:rsidR="00941563">
        <w:rPr>
          <w:rFonts w:ascii="Times New Roman" w:hAnsi="Times New Roman"/>
        </w:rPr>
        <w:t> </w:t>
      </w:r>
      <w:r w:rsidRPr="00627051">
        <w:rPr>
          <w:rFonts w:ascii="Times New Roman" w:hAnsi="Times New Roman"/>
        </w:rPr>
        <w:t>okoliczności spowodowanych COVID-19, z jednoczesnym wydłużen</w:t>
      </w:r>
      <w:r w:rsidR="005435A1">
        <w:rPr>
          <w:rFonts w:ascii="Times New Roman" w:hAnsi="Times New Roman"/>
        </w:rPr>
        <w:t>iem terminu wykonania umowy,</w:t>
      </w:r>
    </w:p>
    <w:p w:rsidR="00627051" w:rsidRPr="00627051" w:rsidRDefault="00627051" w:rsidP="00EC324B">
      <w:pPr>
        <w:pStyle w:val="Akapitzlist"/>
        <w:numPr>
          <w:ilvl w:val="0"/>
          <w:numId w:val="13"/>
        </w:numPr>
        <w:tabs>
          <w:tab w:val="left" w:pos="284"/>
          <w:tab w:val="left" w:pos="567"/>
        </w:tabs>
        <w:spacing w:after="120" w:line="360" w:lineRule="auto"/>
        <w:jc w:val="both"/>
        <w:rPr>
          <w:rFonts w:ascii="Times New Roman" w:hAnsi="Times New Roman"/>
        </w:rPr>
      </w:pPr>
      <w:r w:rsidRPr="00627051">
        <w:rPr>
          <w:rFonts w:ascii="Times New Roman" w:hAnsi="Times New Roman"/>
        </w:rPr>
        <w:t>zmiany sposobu wykonania dostawy, usługi lub robót budowlanych. Umożliwi to stronom umowy dostosowanie pierwotnych wymagań odnośnie sposobu realizacji zamówienia do ograniczeń wynikających z występowania COVID-19, np. w przypadku braku dostępu do określonej technologii, sprzętu lub materiałów dopuszczalna będzie realizacja przedmiotu zamówienia z zastosowaniem innej technologii, sprzętu lub materiałów. Zmiana sposobu realizacji zamówienia będzie mogła mieć chara</w:t>
      </w:r>
      <w:r w:rsidR="005435A1">
        <w:rPr>
          <w:rFonts w:ascii="Times New Roman" w:hAnsi="Times New Roman"/>
        </w:rPr>
        <w:t>kter terminowy lub bezterminowy,</w:t>
      </w:r>
    </w:p>
    <w:p w:rsidR="00627051" w:rsidRPr="00627051" w:rsidRDefault="00627051" w:rsidP="00EC324B">
      <w:pPr>
        <w:pStyle w:val="Akapitzlist"/>
        <w:numPr>
          <w:ilvl w:val="0"/>
          <w:numId w:val="13"/>
        </w:numPr>
        <w:tabs>
          <w:tab w:val="left" w:pos="284"/>
          <w:tab w:val="left" w:pos="567"/>
        </w:tabs>
        <w:spacing w:after="120" w:line="360" w:lineRule="auto"/>
        <w:jc w:val="both"/>
        <w:rPr>
          <w:rFonts w:ascii="Times New Roman" w:hAnsi="Times New Roman"/>
        </w:rPr>
      </w:pPr>
      <w:r w:rsidRPr="00627051">
        <w:rPr>
          <w:rFonts w:ascii="Times New Roman" w:hAnsi="Times New Roman"/>
        </w:rPr>
        <w:t>zmiany zakresu zamówienia, wraz z jednoczesną odpowiednią zmianą wynagrodzenia. Modyfikacja zakresu zamówienia będzie mogła mieć postać modyfikacji przejściowej, tj. na okres występowania okoliczności związanych z transmisją wirusa COVID-19 (np. w przypadku dostaw, usług ciągłych lub okresowych) lub modyfikacji definitywnej, polegającej na ostatecznym ustaleniu nowego zakresu zamówienia (np. zmniejszenie zakresu jednorazowej dostawy lub usługi). Wprowadzenie zmiany zakresu zamówienia będzie wymagało odpowie</w:t>
      </w:r>
      <w:r w:rsidR="005435A1">
        <w:rPr>
          <w:rFonts w:ascii="Times New Roman" w:hAnsi="Times New Roman"/>
        </w:rPr>
        <w:t>dniej zmiany wynagrodzenia.</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Strony umowy będą uprawnione do dokonania zmian umowy w sprawie zamówienia publicznego, o</w:t>
      </w:r>
      <w:r w:rsidR="00941563">
        <w:rPr>
          <w:rFonts w:ascii="Times New Roman" w:hAnsi="Times New Roman"/>
        </w:rPr>
        <w:t> </w:t>
      </w:r>
      <w:r w:rsidRPr="00627051">
        <w:rPr>
          <w:rFonts w:ascii="Times New Roman" w:hAnsi="Times New Roman"/>
        </w:rPr>
        <w:t xml:space="preserve">ile wzrost ceny spowodowany każdą kolejną zmianą nie przekroczy 50% wartości pierwotnej umowy. Ograniczenie to należy rozumieć w ten sposób, że każda poszczególna zmiana umowy nie </w:t>
      </w:r>
      <w:r w:rsidRPr="00627051">
        <w:rPr>
          <w:rFonts w:ascii="Times New Roman" w:hAnsi="Times New Roman"/>
        </w:rPr>
        <w:lastRenderedPageBreak/>
        <w:t>może powodować wzrostu ceny przekraczającego 50% wartości pierwotnej umowy. Strony będą zatem uprawione do dokonania nawet kilku zmian umowy w sprawie zamówienia publicznego, w</w:t>
      </w:r>
      <w:r w:rsidR="00941563">
        <w:rPr>
          <w:rFonts w:ascii="Times New Roman" w:hAnsi="Times New Roman"/>
        </w:rPr>
        <w:t> </w:t>
      </w:r>
      <w:r w:rsidRPr="00627051">
        <w:rPr>
          <w:rFonts w:ascii="Times New Roman" w:hAnsi="Times New Roman"/>
        </w:rPr>
        <w:t>wyniku których łączny wzrost wynagrodzenia wykonawcy przekroczył próg 50% wartości pierwotnej umowy, o ile wzrost wynagrodzenia spowodowany poszczególną (</w:t>
      </w:r>
      <w:r w:rsidR="005435A1">
        <w:rPr>
          <w:rFonts w:ascii="Times New Roman" w:hAnsi="Times New Roman"/>
        </w:rPr>
        <w:t xml:space="preserve">tj. </w:t>
      </w:r>
      <w:r w:rsidRPr="00627051">
        <w:rPr>
          <w:rFonts w:ascii="Times New Roman" w:hAnsi="Times New Roman"/>
        </w:rPr>
        <w:t>indywidulanie rozpatrywaną) zmianą n</w:t>
      </w:r>
      <w:r w:rsidR="005435A1">
        <w:rPr>
          <w:rFonts w:ascii="Times New Roman" w:hAnsi="Times New Roman"/>
        </w:rPr>
        <w:t>ie przekroczy powyższego progu.</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Należy podkreślić, że przygotowane rozwiązania dotyczące zmiany umowy w sprawie zamówienia publicznego są zgodne z dyrektywami unijnymi z zakresu prawa zamówień publicznych, a także ustawą</w:t>
      </w:r>
      <w:r w:rsidR="004A00CC">
        <w:rPr>
          <w:rFonts w:ascii="Times New Roman" w:hAnsi="Times New Roman"/>
        </w:rPr>
        <w:t xml:space="preserve"> </w:t>
      </w:r>
      <w:r w:rsidRPr="00627051">
        <w:rPr>
          <w:rFonts w:ascii="Times New Roman" w:hAnsi="Times New Roman"/>
        </w:rPr>
        <w:t>– Prawo zamówień publicznych. Zarówno prawo unijne, jak i implementujące je prawo krajowe, dopuszczają dokonanie zmiany umowy w sprawie zamówienia publicznego, jeżeli zostaną spełnione łącznie przesłanki odnoszące się do nieprzewidywalności okoliczności wywołujących potrzebę dokonania zmiany umowy, jak i określonej wartości dokonywanej zmiany. Propozycje zawarte w projekcie wpisują się zatem, co do zasady, we wspomniane regulacje z zakresu zamówień publicznych, uwzględniają one jednak specyfikę sytuacji społeczno-gospodarczej wywołanej COVID-19, w tym przede wszystkim konieczność podjęcia s</w:t>
      </w:r>
      <w:r w:rsidR="005435A1">
        <w:rPr>
          <w:rFonts w:ascii="Times New Roman" w:hAnsi="Times New Roman"/>
        </w:rPr>
        <w:t>zybkich i efektywnych działań.</w:t>
      </w:r>
    </w:p>
    <w:p w:rsidR="00627051" w:rsidRPr="00627051" w:rsidRDefault="00627051" w:rsidP="00627051">
      <w:pPr>
        <w:spacing w:after="120" w:line="360" w:lineRule="auto"/>
        <w:jc w:val="both"/>
        <w:rPr>
          <w:rFonts w:ascii="Times New Roman" w:hAnsi="Times New Roman"/>
        </w:rPr>
      </w:pPr>
      <w:r w:rsidRPr="00627051">
        <w:rPr>
          <w:rFonts w:ascii="Times New Roman" w:hAnsi="Times New Roman"/>
        </w:rPr>
        <w:t xml:space="preserve">Jeżeli postanowienia umowy w sprawie zamówienia publicznego będą umożliwiały korzystniejsze ukształtowanie sytuacji wykonawcy w stosunku do możliwości wynikających </w:t>
      </w:r>
      <w:r w:rsidR="005435A1">
        <w:rPr>
          <w:rFonts w:ascii="Times New Roman" w:hAnsi="Times New Roman"/>
        </w:rPr>
        <w:t>z</w:t>
      </w:r>
      <w:r w:rsidRPr="00627051">
        <w:rPr>
          <w:rFonts w:ascii="Times New Roman" w:hAnsi="Times New Roman"/>
        </w:rPr>
        <w:t xml:space="preserve"> </w:t>
      </w:r>
      <w:r w:rsidR="005435A1">
        <w:rPr>
          <w:rFonts w:ascii="Times New Roman" w:hAnsi="Times New Roman"/>
        </w:rPr>
        <w:t>projektowanych przepisów</w:t>
      </w:r>
      <w:r w:rsidRPr="00627051">
        <w:rPr>
          <w:rFonts w:ascii="Times New Roman" w:hAnsi="Times New Roman"/>
        </w:rPr>
        <w:t xml:space="preserve"> (np. możliwość szerszej modyfikacji umowy), strony będą uprawnione do ułożenia łączącego je stosunku prawnego w oparciu o wspomniane postanowienia umowy. Celem ustawy nie jest bowiem ograniczanie uprawnień stron wynikających z umowy w </w:t>
      </w:r>
      <w:r w:rsidR="005435A1">
        <w:rPr>
          <w:rFonts w:ascii="Times New Roman" w:hAnsi="Times New Roman"/>
        </w:rPr>
        <w:t>sprawie zamówienia publicznego.</w:t>
      </w:r>
    </w:p>
    <w:p w:rsidR="00627051" w:rsidRPr="00627051" w:rsidRDefault="005435A1" w:rsidP="00627051">
      <w:pPr>
        <w:pStyle w:val="Akapitzlist"/>
        <w:tabs>
          <w:tab w:val="left" w:pos="284"/>
          <w:tab w:val="left" w:pos="567"/>
        </w:tabs>
        <w:spacing w:after="120" w:line="360" w:lineRule="auto"/>
        <w:ind w:left="0"/>
        <w:jc w:val="both"/>
        <w:rPr>
          <w:rFonts w:ascii="Times New Roman" w:hAnsi="Times New Roman"/>
        </w:rPr>
      </w:pPr>
      <w:r>
        <w:rPr>
          <w:rFonts w:ascii="Times New Roman" w:hAnsi="Times New Roman"/>
        </w:rPr>
        <w:t>W sytuacji</w:t>
      </w:r>
      <w:r w:rsidR="00627051" w:rsidRPr="00627051">
        <w:rPr>
          <w:rFonts w:ascii="Times New Roman" w:hAnsi="Times New Roman"/>
        </w:rPr>
        <w:t xml:space="preserve"> gdy umowa w sprawie zamówienia publicznego przewiduje kary umowne lub odszkodowanie z tytułu odpowiedzialności wykonawcy za jej niewykonanie lub za nienależyte wykonanie z powodu określonych okoliczności, zamawiający w stanowisku</w:t>
      </w:r>
      <w:r>
        <w:rPr>
          <w:rFonts w:ascii="Times New Roman" w:hAnsi="Times New Roman"/>
        </w:rPr>
        <w:t xml:space="preserve"> </w:t>
      </w:r>
      <w:r w:rsidR="00627051" w:rsidRPr="00627051">
        <w:rPr>
          <w:rFonts w:ascii="Times New Roman" w:hAnsi="Times New Roman"/>
        </w:rPr>
        <w:t>powinien przedstawić wpływ okoliczności związanych z wystąpieniem COVID-19 oraz dokonanych zmian umowy na zasadność ustalenia i dochodzenia kar umownych lub odszkodowań, lub ich wysokość. Inaczej mówiąc, zamawiający będzie miał obowiązek poinformowania wykonawcy, czy w jego ocenie okoliczności wskazane przez wykonawcę, a także wprowadzone zmiany umowy, stanowią lub będą mogły stanowić podstawę zwolnienia wykonawcy z odpowiedzialności za niewykonanie lub nienależyte wykonanie umowy. Zamawiający uznając, że istnieją podstawy do stwierdzenia braku odpowiedzialności wykonawcy powinien odstąpić od ustalenia i dochodzenia przewidzianych kar umownych lub odszkodowania. Natomiast w przypadku ustalenia podstaw do przypisania wykonawcy odpowiedzialności za niewykonanie lub nienależyte wykonanie umowy zamawiający powinien rozważyć możliwość obniżenia wysokości kar umownych lub odszkodowania, stosownie do stopnia wpływu okoliczno</w:t>
      </w:r>
      <w:r>
        <w:rPr>
          <w:rFonts w:ascii="Times New Roman" w:hAnsi="Times New Roman"/>
        </w:rPr>
        <w:t>ści związanych z COVID–</w:t>
      </w:r>
      <w:r w:rsidR="00627051" w:rsidRPr="00627051">
        <w:rPr>
          <w:rFonts w:ascii="Times New Roman" w:hAnsi="Times New Roman"/>
        </w:rPr>
        <w:t xml:space="preserve">19 na prawidłowość realizacji umowy, a także uwzględniając treści </w:t>
      </w:r>
      <w:r>
        <w:rPr>
          <w:rFonts w:ascii="Times New Roman" w:hAnsi="Times New Roman"/>
        </w:rPr>
        <w:t>dokonanych zmian umowy.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lastRenderedPageBreak/>
        <w:t xml:space="preserve">W projekcie ustawy proponuje się, aby zmiana umowy oraz odstąpienie od ustalenia i dochodzenia należności powstałych w związku z niewykonaniem lub nienależytym wykonaniem umowy w sprawie zamówienia publicznego na skutek </w:t>
      </w:r>
      <w:r w:rsidR="009761B5">
        <w:rPr>
          <w:rFonts w:ascii="Times New Roman" w:hAnsi="Times New Roman"/>
        </w:rPr>
        <w:t xml:space="preserve">wskazanych </w:t>
      </w:r>
      <w:r w:rsidRPr="00627051">
        <w:rPr>
          <w:rFonts w:ascii="Times New Roman" w:hAnsi="Times New Roman"/>
        </w:rPr>
        <w:t>okoliczności nie stanowiły naruszenia dyscypliny finansów publicznych</w:t>
      </w:r>
      <w:r w:rsidR="005435A1">
        <w:rPr>
          <w:rFonts w:ascii="Times New Roman" w:hAnsi="Times New Roman"/>
        </w:rPr>
        <w:t>.</w:t>
      </w:r>
      <w:r w:rsidRPr="00627051">
        <w:rPr>
          <w:rFonts w:ascii="Times New Roman" w:hAnsi="Times New Roman"/>
        </w:rPr>
        <w:t xml:space="preserve"> Oznacza to, że zamawiający, który działając w oparciu o</w:t>
      </w:r>
      <w:r w:rsidR="009761B5">
        <w:rPr>
          <w:rFonts w:ascii="Times New Roman" w:hAnsi="Times New Roman"/>
        </w:rPr>
        <w:t xml:space="preserve"> </w:t>
      </w:r>
      <w:r w:rsidRPr="00627051">
        <w:rPr>
          <w:rFonts w:ascii="Times New Roman" w:hAnsi="Times New Roman"/>
        </w:rPr>
        <w:t>przepisy projektowanej ustawy stwierdzi brak odpowiedzialności wykonawcy za niewykonanie lub nienależyte wykonanie, i w konsekwencji odstąpi od dochodzenia ustalonych kar umownych lub odszkodowania, nie będzie odpowiadał za naruszenie dyscypliny finansów publicznych. Podobnie będzie w przypadku dokonania zmiany umowy mającej na celu umożliwienie kontynuowania wykonania umowy. Uznanie, że działania zamawiających podejmowane w oparciu o przepisy projektowanej ustawy nie stanowią naruszenia dyscypliny finansów publicznych będzie stanowiło czynnik stabilizujący ich sytuację prawną. Zamawiający analizując możliwość skorzystania z rozwiązań zaproponowanych w projekcie ustawy będą bowiem posiadali pewność, że podjęte przez nich działania nie pociągną za sobą negatywnych konsekwencji. Powinno to znacząco zwiększyć skłonność zamawiających do korzystania z rozwiąza</w:t>
      </w:r>
      <w:r w:rsidR="005435A1">
        <w:rPr>
          <w:rFonts w:ascii="Times New Roman" w:hAnsi="Times New Roman"/>
        </w:rPr>
        <w:t>ń zawartych w</w:t>
      </w:r>
      <w:r w:rsidR="00941563">
        <w:rPr>
          <w:rFonts w:ascii="Times New Roman" w:hAnsi="Times New Roman"/>
        </w:rPr>
        <w:t> </w:t>
      </w:r>
      <w:r w:rsidR="005435A1">
        <w:rPr>
          <w:rFonts w:ascii="Times New Roman" w:hAnsi="Times New Roman"/>
        </w:rPr>
        <w:t>projekcie ustawy.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 xml:space="preserve">Projekt ustawy przewiduje również rozwiązania dedykowane zamawiającym nienależącym do sektora finansów publicznych, które umożliwią im podejmowanie działań w oparciu o projektowane przepisy. </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Po pierwsze, projekt ustawy przewiduje, że nie popełnia przestępstwa, o którym mowa</w:t>
      </w:r>
      <w:r w:rsidR="00941563">
        <w:rPr>
          <w:rFonts w:ascii="Times New Roman" w:hAnsi="Times New Roman"/>
        </w:rPr>
        <w:t xml:space="preserve"> </w:t>
      </w:r>
      <w:r w:rsidRPr="00627051">
        <w:rPr>
          <w:rFonts w:ascii="Times New Roman" w:hAnsi="Times New Roman"/>
        </w:rPr>
        <w:t>w art. 296 § 1-4 ustawy – Kodeks karny</w:t>
      </w:r>
      <w:r w:rsidR="00941563">
        <w:rPr>
          <w:rFonts w:ascii="Times New Roman" w:hAnsi="Times New Roman"/>
        </w:rPr>
        <w:t>, ten</w:t>
      </w:r>
      <w:r w:rsidRPr="00627051">
        <w:rPr>
          <w:rFonts w:ascii="Times New Roman" w:hAnsi="Times New Roman"/>
        </w:rPr>
        <w:t xml:space="preserve"> kto nie ustala lub nie dochodzi od wykonawców należności powstałych w związku z niewykonaniem lub nienależytym wykonaniem umowy w sprawie zamówienia publicznego na skutek okoliczności związanych z COVID</w:t>
      </w:r>
      <w:r w:rsidR="00941563">
        <w:rPr>
          <w:rFonts w:ascii="Times New Roman" w:hAnsi="Times New Roman"/>
        </w:rPr>
        <w:t>-</w:t>
      </w:r>
      <w:r w:rsidRPr="00627051">
        <w:rPr>
          <w:rFonts w:ascii="Times New Roman" w:hAnsi="Times New Roman"/>
        </w:rPr>
        <w:t>19, lub dokonana zmiany umowy na podstawie projektowanych przepisów. Przyjęcie przedmiotowej regulacji będzie oznaczało, że nie popełni</w:t>
      </w:r>
      <w:r w:rsidR="00941563">
        <w:rPr>
          <w:rFonts w:ascii="Times New Roman" w:hAnsi="Times New Roman"/>
        </w:rPr>
        <w:t xml:space="preserve"> przestępstwa niegospodarności (</w:t>
      </w:r>
      <w:r w:rsidRPr="00627051">
        <w:rPr>
          <w:rFonts w:ascii="Times New Roman" w:hAnsi="Times New Roman"/>
        </w:rPr>
        <w:t>w związku z czym nie będzie podlegała odpowiedzialności karnej</w:t>
      </w:r>
      <w:r w:rsidR="00941563">
        <w:rPr>
          <w:rFonts w:ascii="Times New Roman" w:hAnsi="Times New Roman"/>
        </w:rPr>
        <w:t>)</w:t>
      </w:r>
      <w:r w:rsidRPr="00627051">
        <w:rPr>
          <w:rFonts w:ascii="Times New Roman" w:hAnsi="Times New Roman"/>
        </w:rPr>
        <w:t xml:space="preserve"> osoba sprawującą funkcję zarządczą w odniesieniu do osoby fizycznej lub podmiotu kolektywnego, w tym spółek prawa handlowego, będących zamawiającym, która na podstawie informacji oraz dokumentów lub oświadczeń przekazanych przez wykonawcę podejmie </w:t>
      </w:r>
      <w:r w:rsidR="00941563">
        <w:rPr>
          <w:rFonts w:ascii="Times New Roman" w:hAnsi="Times New Roman"/>
        </w:rPr>
        <w:t>decyzję o odstąpieniu od</w:t>
      </w:r>
      <w:r w:rsidRPr="00627051">
        <w:rPr>
          <w:rFonts w:ascii="Times New Roman" w:hAnsi="Times New Roman"/>
        </w:rPr>
        <w:t xml:space="preserve"> dochodzenia od wykonawcy kar umownych, czy też innego odszkodowania, ewentualnie dokonana ich miarkowania. Powyższe wyłączenie odpowiedzialności karnej będzie dotyczyło również sytuacji związanych ze zmianą umowy w sprawie zamówienia publicznego, o ile została ona dokonana w o</w:t>
      </w:r>
      <w:r w:rsidR="00941563">
        <w:rPr>
          <w:rFonts w:ascii="Times New Roman" w:hAnsi="Times New Roman"/>
        </w:rPr>
        <w:t>parciu o projektowane przepisy.</w:t>
      </w:r>
    </w:p>
    <w:p w:rsidR="00627051" w:rsidRPr="00627051" w:rsidRDefault="00627051" w:rsidP="00627051">
      <w:pPr>
        <w:pStyle w:val="Akapitzlist"/>
        <w:tabs>
          <w:tab w:val="left" w:pos="284"/>
          <w:tab w:val="left" w:pos="567"/>
        </w:tabs>
        <w:spacing w:after="120" w:line="360" w:lineRule="auto"/>
        <w:ind w:left="0"/>
        <w:jc w:val="both"/>
        <w:rPr>
          <w:rFonts w:ascii="Times New Roman" w:hAnsi="Times New Roman"/>
        </w:rPr>
      </w:pPr>
      <w:r w:rsidRPr="00627051">
        <w:rPr>
          <w:rFonts w:ascii="Times New Roman" w:hAnsi="Times New Roman"/>
        </w:rPr>
        <w:t>Po drugie, za szkodę wyrządzoną działaniem lub zaniechaniem sprzecznym z prawem lub postanowieniami umowy spółki, o której mowa w art. 293 §</w:t>
      </w:r>
      <w:r w:rsidR="00941563">
        <w:rPr>
          <w:rFonts w:ascii="Times New Roman" w:hAnsi="Times New Roman"/>
        </w:rPr>
        <w:t xml:space="preserve"> </w:t>
      </w:r>
      <w:r w:rsidRPr="00627051">
        <w:rPr>
          <w:rFonts w:ascii="Times New Roman" w:hAnsi="Times New Roman"/>
        </w:rPr>
        <w:t>1 albo art. 483 §</w:t>
      </w:r>
      <w:r w:rsidR="00941563">
        <w:rPr>
          <w:rFonts w:ascii="Times New Roman" w:hAnsi="Times New Roman"/>
        </w:rPr>
        <w:t xml:space="preserve"> </w:t>
      </w:r>
      <w:r w:rsidRPr="00627051">
        <w:rPr>
          <w:rFonts w:ascii="Times New Roman" w:hAnsi="Times New Roman"/>
        </w:rPr>
        <w:t xml:space="preserve">1 ustawy </w:t>
      </w:r>
      <w:r w:rsidR="00941563">
        <w:rPr>
          <w:rFonts w:ascii="Times New Roman" w:hAnsi="Times New Roman"/>
        </w:rPr>
        <w:t xml:space="preserve">– Kodeks spółek handlowych, </w:t>
      </w:r>
      <w:r w:rsidRPr="00627051">
        <w:rPr>
          <w:rFonts w:ascii="Times New Roman" w:hAnsi="Times New Roman"/>
        </w:rPr>
        <w:t>nie odpowiada wobec spółki członek zarządu, rady nadzorczej, komisji rewizyjnej oraz likwidator, kt</w:t>
      </w:r>
      <w:r w:rsidR="00941563">
        <w:rPr>
          <w:rFonts w:ascii="Times New Roman" w:hAnsi="Times New Roman"/>
        </w:rPr>
        <w:t>óry</w:t>
      </w:r>
      <w:r w:rsidRPr="00627051">
        <w:rPr>
          <w:rFonts w:ascii="Times New Roman" w:hAnsi="Times New Roman"/>
        </w:rPr>
        <w:t xml:space="preserve"> nie ustala lub nie dochodzi od wykonawców należności powstałych w związku z niewykonaniem lub nienależytym wykonaniem umowy w sprawie zamówienia publicznego na skutek okoliczności związanych z </w:t>
      </w:r>
      <w:r w:rsidR="00941563">
        <w:rPr>
          <w:rFonts w:ascii="Times New Roman" w:hAnsi="Times New Roman"/>
        </w:rPr>
        <w:t>COVID-</w:t>
      </w:r>
      <w:r w:rsidRPr="00627051">
        <w:rPr>
          <w:rFonts w:ascii="Times New Roman" w:hAnsi="Times New Roman"/>
        </w:rPr>
        <w:t xml:space="preserve">19, lub </w:t>
      </w:r>
      <w:r w:rsidR="00941563">
        <w:rPr>
          <w:rFonts w:ascii="Times New Roman" w:hAnsi="Times New Roman"/>
        </w:rPr>
        <w:t>który dokonuje</w:t>
      </w:r>
      <w:r w:rsidRPr="00627051">
        <w:rPr>
          <w:rFonts w:ascii="Times New Roman" w:hAnsi="Times New Roman"/>
        </w:rPr>
        <w:t xml:space="preserve"> zmiany umowy na podstawie projektowanych przepisów. Z powyższego wynika, że podjęcie przez wskazane osoby decyzji o </w:t>
      </w:r>
      <w:r w:rsidRPr="00627051">
        <w:rPr>
          <w:rFonts w:ascii="Times New Roman" w:hAnsi="Times New Roman"/>
        </w:rPr>
        <w:lastRenderedPageBreak/>
        <w:t>odstąpieniu przez spółkę będącą zamawiającym od dochodzenia od wykonawcy kar umownych lub odszkodowania, ewentualnie dokonanie ich miarkowania, w związku z</w:t>
      </w:r>
      <w:r w:rsidR="00941563">
        <w:rPr>
          <w:rFonts w:ascii="Times New Roman" w:hAnsi="Times New Roman"/>
        </w:rPr>
        <w:t> </w:t>
      </w:r>
      <w:r w:rsidRPr="00627051">
        <w:rPr>
          <w:rFonts w:ascii="Times New Roman" w:hAnsi="Times New Roman"/>
        </w:rPr>
        <w:t xml:space="preserve">okolicznościami wywołanymi </w:t>
      </w:r>
      <w:r w:rsidR="00941563">
        <w:rPr>
          <w:rFonts w:ascii="Times New Roman" w:hAnsi="Times New Roman"/>
        </w:rPr>
        <w:t>COVID-</w:t>
      </w:r>
      <w:r w:rsidRPr="00627051">
        <w:rPr>
          <w:rFonts w:ascii="Times New Roman" w:hAnsi="Times New Roman"/>
        </w:rPr>
        <w:t>19, nie będzie skutkowało powstaniem po ich stronie ewentualnej odpowiedzialności odszkodowawczej wobec spółki. Inaczej mówiąc, roszczenia odszkodowawcze spółki kierowane wobec tych osób będą nieuprawnione.</w:t>
      </w:r>
    </w:p>
    <w:p w:rsidR="008A6D38" w:rsidRDefault="008A6D3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zasad pracy pracowników zatrudnionych w infrastrukturze krytycznej:</w:t>
      </w:r>
    </w:p>
    <w:p w:rsidR="008A6D38" w:rsidRPr="008A6D38" w:rsidRDefault="008A6D38" w:rsidP="008A6D38">
      <w:pPr>
        <w:pStyle w:val="USTustnpkodeksu"/>
        <w:spacing w:after="120" w:line="360" w:lineRule="auto"/>
        <w:ind w:firstLine="0"/>
        <w:rPr>
          <w:rFonts w:ascii="Times New Roman" w:hAnsi="Times New Roman" w:cs="Times New Roman"/>
          <w:sz w:val="22"/>
          <w:szCs w:val="22"/>
        </w:rPr>
      </w:pPr>
      <w:r w:rsidRPr="008A6D38">
        <w:rPr>
          <w:rFonts w:ascii="Times New Roman" w:hAnsi="Times New Roman" w:cs="Times New Roman"/>
          <w:sz w:val="22"/>
          <w:szCs w:val="22"/>
        </w:rPr>
        <w:t xml:space="preserve">Proponowane przepisy umożliwiają określonej grupie pracodawców, odpowiadających za elementy infrastruktury krytycznej oraz stacje paliw, w przypadku ogłoszenia stanu zagrożenia </w:t>
      </w:r>
      <w:r>
        <w:rPr>
          <w:rFonts w:ascii="Times New Roman" w:hAnsi="Times New Roman" w:cs="Times New Roman"/>
          <w:sz w:val="22"/>
          <w:szCs w:val="22"/>
        </w:rPr>
        <w:t>epidemicznego</w:t>
      </w:r>
      <w:r w:rsidRPr="008A6D38">
        <w:rPr>
          <w:rFonts w:ascii="Times New Roman" w:hAnsi="Times New Roman" w:cs="Times New Roman"/>
          <w:sz w:val="22"/>
          <w:szCs w:val="22"/>
        </w:rPr>
        <w:t xml:space="preserve"> lub stanu epidemii dokonywania określonych czynności z zakresu prawa pracy, umożliwiających nieprzerwane działanie przedsiębiorstw</w:t>
      </w:r>
      <w:r>
        <w:rPr>
          <w:rFonts w:ascii="Times New Roman" w:hAnsi="Times New Roman" w:cs="Times New Roman"/>
          <w:sz w:val="22"/>
          <w:szCs w:val="22"/>
        </w:rPr>
        <w:t xml:space="preserve"> będących częścią </w:t>
      </w:r>
      <w:r w:rsidR="002F3F5D">
        <w:rPr>
          <w:rFonts w:ascii="Times New Roman" w:hAnsi="Times New Roman" w:cs="Times New Roman"/>
          <w:sz w:val="22"/>
          <w:szCs w:val="22"/>
        </w:rPr>
        <w:t>wspomnianej infrastruktury</w:t>
      </w:r>
      <w:r w:rsidRPr="008A6D38">
        <w:rPr>
          <w:rFonts w:ascii="Times New Roman" w:hAnsi="Times New Roman" w:cs="Times New Roman"/>
          <w:sz w:val="22"/>
          <w:szCs w:val="22"/>
        </w:rPr>
        <w:t>.</w:t>
      </w:r>
      <w:r w:rsidR="002F3F5D">
        <w:rPr>
          <w:rFonts w:ascii="Times New Roman" w:hAnsi="Times New Roman" w:cs="Times New Roman"/>
          <w:sz w:val="22"/>
          <w:szCs w:val="22"/>
        </w:rPr>
        <w:t xml:space="preserve"> Jest to niezbędne ze względu na jej znaczenie dla ciągłości i stabilności struktur państwowych i zapewnienia bezpieczeństwa obywatelom</w:t>
      </w:r>
      <w:r w:rsidR="00D85927">
        <w:rPr>
          <w:rFonts w:ascii="Times New Roman" w:hAnsi="Times New Roman" w:cs="Times New Roman"/>
          <w:sz w:val="22"/>
          <w:szCs w:val="22"/>
        </w:rPr>
        <w:t xml:space="preserve"> polskiego państwa</w:t>
      </w:r>
      <w:r w:rsidR="002F3F5D">
        <w:rPr>
          <w:rFonts w:ascii="Times New Roman" w:hAnsi="Times New Roman" w:cs="Times New Roman"/>
          <w:sz w:val="22"/>
          <w:szCs w:val="22"/>
        </w:rPr>
        <w:t>.</w:t>
      </w:r>
    </w:p>
    <w:p w:rsidR="00B81A1E" w:rsidRDefault="00B81A1E"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społecznego budownictwa czynszowego:</w:t>
      </w:r>
    </w:p>
    <w:p w:rsidR="00B81A1E" w:rsidRPr="00B81A1E" w:rsidRDefault="00B81A1E" w:rsidP="00B81A1E">
      <w:pPr>
        <w:suppressAutoHyphens/>
        <w:autoSpaceDE w:val="0"/>
        <w:autoSpaceDN w:val="0"/>
        <w:adjustRightInd w:val="0"/>
        <w:spacing w:after="120" w:line="360" w:lineRule="auto"/>
        <w:jc w:val="both"/>
        <w:rPr>
          <w:rFonts w:ascii="Times New Roman" w:hAnsi="Times New Roman"/>
          <w:lang w:eastAsia="pl-PL"/>
        </w:rPr>
      </w:pPr>
      <w:r w:rsidRPr="00B81A1E">
        <w:rPr>
          <w:rFonts w:ascii="Times New Roman" w:hAnsi="Times New Roman"/>
          <w:lang w:eastAsia="pl-PL"/>
        </w:rPr>
        <w:t xml:space="preserve">Proponowany przepis wyłącza stosowanie warunku ograniczającego okres spłaty kredytu udzielnego przez </w:t>
      </w:r>
      <w:r>
        <w:rPr>
          <w:rFonts w:ascii="Times New Roman" w:hAnsi="Times New Roman"/>
          <w:lang w:eastAsia="pl-PL"/>
        </w:rPr>
        <w:t xml:space="preserve">Bank Gospodarstwa Krajowego (BGK) </w:t>
      </w:r>
      <w:r w:rsidRPr="00B81A1E">
        <w:rPr>
          <w:rFonts w:ascii="Times New Roman" w:hAnsi="Times New Roman"/>
          <w:lang w:eastAsia="pl-PL"/>
        </w:rPr>
        <w:t xml:space="preserve">w ramach programu wsparcia społecznego budownictwa czynszowego do maksymalnie 30 lat w przypadku okresowego zawieszenia spłaty kredytu przez BGK w związku z kryzysem </w:t>
      </w:r>
      <w:r>
        <w:rPr>
          <w:rFonts w:ascii="Times New Roman" w:hAnsi="Times New Roman"/>
          <w:lang w:eastAsia="pl-PL"/>
        </w:rPr>
        <w:t>COVID</w:t>
      </w:r>
      <w:r w:rsidRPr="00B81A1E">
        <w:rPr>
          <w:rFonts w:ascii="Times New Roman" w:hAnsi="Times New Roman"/>
          <w:lang w:eastAsia="pl-PL"/>
        </w:rPr>
        <w:t>-19.</w:t>
      </w:r>
    </w:p>
    <w:p w:rsidR="00B81A1E" w:rsidRPr="00B81A1E" w:rsidRDefault="00B81A1E" w:rsidP="00B81A1E">
      <w:pPr>
        <w:suppressAutoHyphens/>
        <w:autoSpaceDE w:val="0"/>
        <w:autoSpaceDN w:val="0"/>
        <w:adjustRightInd w:val="0"/>
        <w:spacing w:after="120" w:line="360" w:lineRule="auto"/>
        <w:jc w:val="both"/>
        <w:rPr>
          <w:rFonts w:ascii="Times New Roman" w:hAnsi="Times New Roman"/>
          <w:lang w:eastAsia="pl-PL"/>
        </w:rPr>
      </w:pPr>
      <w:r w:rsidRPr="00B81A1E">
        <w:rPr>
          <w:rFonts w:ascii="Times New Roman" w:hAnsi="Times New Roman"/>
          <w:lang w:eastAsia="pl-PL"/>
        </w:rPr>
        <w:t xml:space="preserve">Chociaż działalność kredytowa w ramach programu wsparcia społecznego budownictwa czynszowego jest prowadzona w oparciu o własny kapitał BGK, część warunków związanych ze spłatą zobowiązania kredytowego wynika z przepisów ustawy, dając BGK mniejszy zakres rozwiązań wspierających okresowo kredytobiorców niż miałoby to miejsce w przypadku czysto komercyjnej działalności kredytowej </w:t>
      </w:r>
      <w:r>
        <w:rPr>
          <w:rFonts w:ascii="Times New Roman" w:hAnsi="Times New Roman"/>
          <w:lang w:eastAsia="pl-PL"/>
        </w:rPr>
        <w:t>BGK. Warunkiem takim jest</w:t>
      </w:r>
      <w:r w:rsidRPr="00B81A1E">
        <w:rPr>
          <w:rFonts w:ascii="Times New Roman" w:hAnsi="Times New Roman"/>
          <w:lang w:eastAsia="pl-PL"/>
        </w:rPr>
        <w:t xml:space="preserve"> przepis art. 15b ust. 3 ustawy o niektórych formach popierania budownictwa mieszkaniowego, zgodnie z którym preferencyjny kredyt w ramach programu </w:t>
      </w:r>
      <w:r>
        <w:rPr>
          <w:rFonts w:ascii="Times New Roman" w:hAnsi="Times New Roman"/>
          <w:lang w:eastAsia="pl-PL"/>
        </w:rPr>
        <w:t>społecznego budownictwa czynszowego</w:t>
      </w:r>
      <w:r w:rsidRPr="00B81A1E">
        <w:rPr>
          <w:rFonts w:ascii="Times New Roman" w:hAnsi="Times New Roman"/>
          <w:lang w:eastAsia="pl-PL"/>
        </w:rPr>
        <w:t xml:space="preserve"> udzielany jest przez BGK na okres nie dłuższy niż 30 lat, przy czym do tak określonego maksymalnego okresu kredytowania wlicza się okres karencji w</w:t>
      </w:r>
      <w:r>
        <w:rPr>
          <w:rFonts w:ascii="Times New Roman" w:hAnsi="Times New Roman"/>
          <w:lang w:eastAsia="pl-PL"/>
        </w:rPr>
        <w:t> spłacie kapitału.</w:t>
      </w:r>
    </w:p>
    <w:p w:rsidR="00B81A1E" w:rsidRPr="00B81A1E" w:rsidRDefault="00B81A1E" w:rsidP="00B81A1E">
      <w:pPr>
        <w:suppressAutoHyphens/>
        <w:autoSpaceDE w:val="0"/>
        <w:autoSpaceDN w:val="0"/>
        <w:adjustRightInd w:val="0"/>
        <w:spacing w:after="120" w:line="360" w:lineRule="auto"/>
        <w:jc w:val="both"/>
        <w:rPr>
          <w:rFonts w:ascii="Times New Roman" w:hAnsi="Times New Roman"/>
          <w:lang w:eastAsia="pl-PL"/>
        </w:rPr>
      </w:pPr>
      <w:r w:rsidRPr="00B81A1E">
        <w:rPr>
          <w:rFonts w:ascii="Times New Roman" w:hAnsi="Times New Roman"/>
          <w:lang w:eastAsia="pl-PL"/>
        </w:rPr>
        <w:t xml:space="preserve">Oznacza to, że w przypadku wystąpienia trudności w obsłudze kredytu, z uwagi na okresowe obniżenie lub utratę dochodów gospodarstwa domowego części najemców lokali mieszkalnych wybudowanych w ramach programu </w:t>
      </w:r>
      <w:r>
        <w:rPr>
          <w:rFonts w:ascii="Times New Roman" w:hAnsi="Times New Roman"/>
          <w:lang w:eastAsia="pl-PL"/>
        </w:rPr>
        <w:t>społecznego budownictwa czynszowego</w:t>
      </w:r>
      <w:r w:rsidRPr="00B81A1E">
        <w:rPr>
          <w:rFonts w:ascii="Times New Roman" w:hAnsi="Times New Roman"/>
          <w:lang w:eastAsia="pl-PL"/>
        </w:rPr>
        <w:t xml:space="preserve">, w okresie kryzysu spowodowanego </w:t>
      </w:r>
      <w:r>
        <w:rPr>
          <w:rFonts w:ascii="Times New Roman" w:hAnsi="Times New Roman"/>
          <w:lang w:eastAsia="pl-PL"/>
        </w:rPr>
        <w:t xml:space="preserve">COVID-19, </w:t>
      </w:r>
      <w:r w:rsidRPr="00B81A1E">
        <w:rPr>
          <w:rFonts w:ascii="Times New Roman" w:hAnsi="Times New Roman"/>
          <w:lang w:eastAsia="pl-PL"/>
        </w:rPr>
        <w:t>możliwość okreso</w:t>
      </w:r>
      <w:r>
        <w:rPr>
          <w:rFonts w:ascii="Times New Roman" w:hAnsi="Times New Roman"/>
          <w:lang w:eastAsia="pl-PL"/>
        </w:rPr>
        <w:t>wego zawieszenia spłaty kredytu</w:t>
      </w:r>
      <w:r w:rsidRPr="00B81A1E">
        <w:rPr>
          <w:rFonts w:ascii="Times New Roman" w:hAnsi="Times New Roman"/>
          <w:lang w:eastAsia="pl-PL"/>
        </w:rPr>
        <w:t xml:space="preserve"> jako przejściowej formy wsparcia jest ograniczona. Aby rozwiązanie to było neut</w:t>
      </w:r>
      <w:r>
        <w:rPr>
          <w:rFonts w:ascii="Times New Roman" w:hAnsi="Times New Roman"/>
          <w:lang w:eastAsia="pl-PL"/>
        </w:rPr>
        <w:t>ralne dla lokatorów mieszkań (w </w:t>
      </w:r>
      <w:r w:rsidRPr="00B81A1E">
        <w:rPr>
          <w:rFonts w:ascii="Times New Roman" w:hAnsi="Times New Roman"/>
          <w:lang w:eastAsia="pl-PL"/>
        </w:rPr>
        <w:t>czynszu zawarte są środki na spłatę kredytu BGK), okresowe zawieszenie spłaty kredytu powinno skutkować odpowiednim przedłużeniem okresu spłaty zobowiązania kredytowego, tj. nie powodować wzrostu rat kapitałowo-odsetkowych z tytułu s</w:t>
      </w:r>
      <w:r>
        <w:rPr>
          <w:rFonts w:ascii="Times New Roman" w:hAnsi="Times New Roman"/>
          <w:lang w:eastAsia="pl-PL"/>
        </w:rPr>
        <w:t xml:space="preserve">krócenia okresu kredytowania. W </w:t>
      </w:r>
      <w:r w:rsidRPr="00B81A1E">
        <w:rPr>
          <w:rFonts w:ascii="Times New Roman" w:hAnsi="Times New Roman"/>
          <w:lang w:eastAsia="pl-PL"/>
        </w:rPr>
        <w:t xml:space="preserve">przypadku kredytów </w:t>
      </w:r>
      <w:r w:rsidRPr="00B81A1E">
        <w:rPr>
          <w:rFonts w:ascii="Times New Roman" w:hAnsi="Times New Roman"/>
          <w:lang w:eastAsia="pl-PL"/>
        </w:rPr>
        <w:lastRenderedPageBreak/>
        <w:t>udzielanych w programie</w:t>
      </w:r>
      <w:r>
        <w:rPr>
          <w:rFonts w:ascii="Times New Roman" w:hAnsi="Times New Roman"/>
          <w:lang w:eastAsia="pl-PL"/>
        </w:rPr>
        <w:t xml:space="preserve"> społecznego budownictwa czynszowego</w:t>
      </w:r>
      <w:r w:rsidRPr="00B81A1E">
        <w:rPr>
          <w:rFonts w:ascii="Times New Roman" w:hAnsi="Times New Roman"/>
          <w:lang w:eastAsia="pl-PL"/>
        </w:rPr>
        <w:t xml:space="preserve"> co do zasady na 30 lat warunek ten nie będzie mógł jednak zostać zapewniony bez odpowiedniego wyłączenia zakresu stosowania ograniczenia wskazanego w art. 15b ust. 3.</w:t>
      </w:r>
    </w:p>
    <w:p w:rsidR="00A07568" w:rsidRDefault="00A0756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zezwoleń dla cudzoziemców:</w:t>
      </w:r>
    </w:p>
    <w:p w:rsidR="00542C34" w:rsidRDefault="00A07568" w:rsidP="00A0756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Proponuje się</w:t>
      </w:r>
      <w:r w:rsidRPr="00A07568">
        <w:rPr>
          <w:rFonts w:ascii="Times New Roman" w:hAnsi="Times New Roman"/>
          <w:lang w:eastAsia="pl-PL"/>
        </w:rPr>
        <w:t xml:space="preserve"> wydłużenie terminu składania wniosków o udzielenie zezwoleń pobytowych, przedłużenie wizy oraz przedłużenie pobytu w ramach ruchu bezw</w:t>
      </w:r>
      <w:r>
        <w:rPr>
          <w:rFonts w:ascii="Times New Roman" w:hAnsi="Times New Roman"/>
          <w:lang w:eastAsia="pl-PL"/>
        </w:rPr>
        <w:t>izowego, jeżeli ten wypadałby w </w:t>
      </w:r>
      <w:r w:rsidRPr="00A07568">
        <w:rPr>
          <w:rFonts w:ascii="Times New Roman" w:hAnsi="Times New Roman"/>
          <w:lang w:eastAsia="pl-PL"/>
        </w:rPr>
        <w:t xml:space="preserve">okresie stanu zagrożenia epidemicznego ogłoszonego w związku z zakażeniami wirusem SARS-CoV-2 lub w przypadku, gdyby doszło do ogłoszenia stanu epidemii, w okresie tego stanu. </w:t>
      </w:r>
      <w:r>
        <w:rPr>
          <w:rFonts w:ascii="Times New Roman" w:hAnsi="Times New Roman"/>
          <w:lang w:eastAsia="pl-PL"/>
        </w:rPr>
        <w:t>Zgodnie z </w:t>
      </w:r>
      <w:r w:rsidRPr="00A07568">
        <w:rPr>
          <w:rFonts w:ascii="Times New Roman" w:hAnsi="Times New Roman"/>
          <w:lang w:eastAsia="pl-PL"/>
        </w:rPr>
        <w:t>przepisami ustawy o cudzoziemcach cudzoziemiec ubiegający się o zezwolenia na pobyt czasowy, zezwolenie na pobyt stały, zezwolenie na pobyt rezydenta długoterminowego UE oraz przedłużenie wizy lub okresu pobytu w ramach ruchu bezwizowego jest obowiązany wystąpić ze stosownym wnioskiem osobiście, nie później niż w ostatnim dniu jego legalnego pobytu na terytorium Rzeczypospolitej Polskiej. Jeżeli wniosek o udzielenie zezwolenia pobytowego nie zostanie złożony przez cudzoziemca osobiście, wojewoda wzywa go do osobistego stawiennictwa w terminie nie krótszym niż 7 dni pod rygorem pozostawienia wniosku bez rozpoznania. Wymóg osobistego stawiennictwa cudzoziemca przy składaniu wniosku o udzielenie</w:t>
      </w:r>
      <w:r>
        <w:rPr>
          <w:rFonts w:ascii="Times New Roman" w:hAnsi="Times New Roman"/>
          <w:lang w:eastAsia="pl-PL"/>
        </w:rPr>
        <w:t xml:space="preserve"> zezwolenia pobytowego wynika z </w:t>
      </w:r>
      <w:r w:rsidRPr="00A07568">
        <w:rPr>
          <w:rFonts w:ascii="Times New Roman" w:hAnsi="Times New Roman"/>
          <w:lang w:eastAsia="pl-PL"/>
        </w:rPr>
        <w:t>konieczności pobrania od niego odcisków linii papilarnych. Dodatkowo jeżeli opisany wyżej termin zostanie zachowany</w:t>
      </w:r>
      <w:r>
        <w:rPr>
          <w:rFonts w:ascii="Times New Roman" w:hAnsi="Times New Roman"/>
          <w:lang w:eastAsia="pl-PL"/>
        </w:rPr>
        <w:t>,</w:t>
      </w:r>
      <w:r w:rsidRPr="00A07568">
        <w:rPr>
          <w:rFonts w:ascii="Times New Roman" w:hAnsi="Times New Roman"/>
          <w:lang w:eastAsia="pl-PL"/>
        </w:rPr>
        <w:t xml:space="preserve"> pracownik </w:t>
      </w:r>
      <w:r>
        <w:rPr>
          <w:rFonts w:ascii="Times New Roman" w:hAnsi="Times New Roman"/>
          <w:lang w:eastAsia="pl-PL"/>
        </w:rPr>
        <w:t xml:space="preserve">urzędu wojewódzkiego umieszcza </w:t>
      </w:r>
      <w:r w:rsidRPr="00A07568">
        <w:rPr>
          <w:rFonts w:ascii="Times New Roman" w:hAnsi="Times New Roman"/>
          <w:lang w:eastAsia="pl-PL"/>
        </w:rPr>
        <w:t>w dokumencie podróży cudzoziemca odcisk stempla potwierdzającego złożenie ww. wniosków, a pobyt cudzoziemca na terytorium Polski jest legalny od dnia złożenia wniosku do dnia zakończenia postępowani</w:t>
      </w:r>
      <w:r w:rsidR="00542C34">
        <w:rPr>
          <w:rFonts w:ascii="Times New Roman" w:hAnsi="Times New Roman"/>
          <w:lang w:eastAsia="pl-PL"/>
        </w:rPr>
        <w:t xml:space="preserve">a w sprawie legalizacji pobytu. </w:t>
      </w:r>
      <w:r w:rsidRPr="00A07568">
        <w:rPr>
          <w:rFonts w:ascii="Times New Roman" w:hAnsi="Times New Roman"/>
          <w:lang w:eastAsia="pl-PL"/>
        </w:rPr>
        <w:t xml:space="preserve">W sytuacji zawieszenia przez urzędy wojewódzkie przyjęć interesantów w związku z wprowadzeniem stanu zagrożenia epidemicznego, cudzoziemcy </w:t>
      </w:r>
      <w:r>
        <w:rPr>
          <w:rFonts w:ascii="Times New Roman" w:hAnsi="Times New Roman"/>
          <w:lang w:eastAsia="pl-PL"/>
        </w:rPr>
        <w:t>będą mieli znaczące trudności w </w:t>
      </w:r>
      <w:r w:rsidRPr="00A07568">
        <w:rPr>
          <w:rFonts w:ascii="Times New Roman" w:hAnsi="Times New Roman"/>
          <w:lang w:eastAsia="pl-PL"/>
        </w:rPr>
        <w:t>zachowaniu terminu na złożenie ww. wniosków (wobec wprowadzanych przez Pocztę Polską S.A. ograniczeń w obsłudze klientów) i</w:t>
      </w:r>
      <w:r>
        <w:rPr>
          <w:rFonts w:ascii="Times New Roman" w:hAnsi="Times New Roman"/>
          <w:lang w:eastAsia="pl-PL"/>
        </w:rPr>
        <w:t>,</w:t>
      </w:r>
      <w:r w:rsidRPr="00A07568">
        <w:rPr>
          <w:rFonts w:ascii="Times New Roman" w:hAnsi="Times New Roman"/>
          <w:lang w:eastAsia="pl-PL"/>
        </w:rPr>
        <w:t xml:space="preserve"> co się z tym wiąże</w:t>
      </w:r>
      <w:r>
        <w:rPr>
          <w:rFonts w:ascii="Times New Roman" w:hAnsi="Times New Roman"/>
          <w:lang w:eastAsia="pl-PL"/>
        </w:rPr>
        <w:t>,</w:t>
      </w:r>
      <w:r w:rsidRPr="00A07568">
        <w:rPr>
          <w:rFonts w:ascii="Times New Roman" w:hAnsi="Times New Roman"/>
          <w:lang w:eastAsia="pl-PL"/>
        </w:rPr>
        <w:t xml:space="preserve"> nie będą mogli korzystać z przywileju legalnego pobytu w czasie postępowani</w:t>
      </w:r>
      <w:r w:rsidR="00542C34">
        <w:rPr>
          <w:rFonts w:ascii="Times New Roman" w:hAnsi="Times New Roman"/>
          <w:lang w:eastAsia="pl-PL"/>
        </w:rPr>
        <w:t>a w sprawie legalizacji pobytu.</w:t>
      </w:r>
    </w:p>
    <w:p w:rsidR="00A07568" w:rsidRDefault="00A07568" w:rsidP="00A07568">
      <w:pPr>
        <w:suppressAutoHyphens/>
        <w:autoSpaceDE w:val="0"/>
        <w:autoSpaceDN w:val="0"/>
        <w:adjustRightInd w:val="0"/>
        <w:spacing w:after="120" w:line="360" w:lineRule="auto"/>
        <w:jc w:val="both"/>
        <w:rPr>
          <w:rFonts w:ascii="Times New Roman" w:hAnsi="Times New Roman"/>
          <w:lang w:eastAsia="pl-PL"/>
        </w:rPr>
      </w:pPr>
      <w:r w:rsidRPr="00A07568">
        <w:rPr>
          <w:rFonts w:ascii="Times New Roman" w:hAnsi="Times New Roman"/>
          <w:lang w:eastAsia="pl-PL"/>
        </w:rPr>
        <w:t>Analogiczna sytuacja dotyczy terminów na składanie wniosków o udzielenie zezwolenia na pobyt czasowy składanych prze</w:t>
      </w:r>
      <w:r>
        <w:rPr>
          <w:rFonts w:ascii="Times New Roman" w:hAnsi="Times New Roman"/>
          <w:lang w:eastAsia="pl-PL"/>
        </w:rPr>
        <w:t>z tzw. jednostki przyjmujące, w </w:t>
      </w:r>
      <w:r w:rsidRPr="00A07568">
        <w:rPr>
          <w:rFonts w:ascii="Times New Roman" w:hAnsi="Times New Roman"/>
          <w:lang w:eastAsia="pl-PL"/>
        </w:rPr>
        <w:t xml:space="preserve">szczególnych przypadkach, tj. w przypadku wniosku o udzielenie kolejnego zezwolenia na pobyt czasowy w celu wykonywania pracy w ramach przeniesienia wewnątrz przedsiębiorstwa (art. 139l ust. 1) oraz w przypadku wniosku o udzielenie zezwolenia na pobyt czasowy w celu mobilności długoterminowej pracownika kadry kierowniczej, specjalisty lub </w:t>
      </w:r>
      <w:r>
        <w:rPr>
          <w:rFonts w:ascii="Times New Roman" w:hAnsi="Times New Roman"/>
          <w:lang w:eastAsia="pl-PL"/>
        </w:rPr>
        <w:t>pracownika odbywającego staż, w </w:t>
      </w:r>
      <w:r w:rsidRPr="00A07568">
        <w:rPr>
          <w:rFonts w:ascii="Times New Roman" w:hAnsi="Times New Roman"/>
          <w:lang w:eastAsia="pl-PL"/>
        </w:rPr>
        <w:t>ramach przeniesienia wewnątrz przed</w:t>
      </w:r>
      <w:r w:rsidR="00542C34">
        <w:rPr>
          <w:rFonts w:ascii="Times New Roman" w:hAnsi="Times New Roman"/>
          <w:lang w:eastAsia="pl-PL"/>
        </w:rPr>
        <w:t>siębiorstwa (art. 139t ust. 1).</w:t>
      </w:r>
    </w:p>
    <w:p w:rsidR="00542C34" w:rsidRDefault="00A07568" w:rsidP="00A07568">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Proponuje się również,</w:t>
      </w:r>
      <w:r w:rsidRPr="00A07568">
        <w:rPr>
          <w:rFonts w:ascii="Times New Roman" w:hAnsi="Times New Roman"/>
          <w:lang w:eastAsia="pl-PL"/>
        </w:rPr>
        <w:t xml:space="preserve"> aby pobyt cudzoziemców w czasie przedłużonego terminu do złożenia wniosku uznawany był za legalny pod warunkiem, że cudzoziemiec w terminie 30 dni od dnia następującego po dniu odwołania </w:t>
      </w:r>
      <w:r w:rsidR="00542C34">
        <w:rPr>
          <w:rFonts w:ascii="Times New Roman" w:hAnsi="Times New Roman"/>
          <w:lang w:eastAsia="pl-PL"/>
        </w:rPr>
        <w:t xml:space="preserve">stanu </w:t>
      </w:r>
      <w:r w:rsidRPr="00A07568">
        <w:rPr>
          <w:rFonts w:ascii="Times New Roman" w:hAnsi="Times New Roman"/>
          <w:lang w:eastAsia="pl-PL"/>
        </w:rPr>
        <w:t>zagrożenia epidemiczn</w:t>
      </w:r>
      <w:r w:rsidR="00542C34">
        <w:rPr>
          <w:rFonts w:ascii="Times New Roman" w:hAnsi="Times New Roman"/>
          <w:lang w:eastAsia="pl-PL"/>
        </w:rPr>
        <w:t xml:space="preserve">ego albo stanu epidemii złoży </w:t>
      </w:r>
      <w:r w:rsidR="00542C34">
        <w:rPr>
          <w:rFonts w:ascii="Times New Roman" w:hAnsi="Times New Roman"/>
          <w:lang w:eastAsia="pl-PL"/>
        </w:rPr>
        <w:lastRenderedPageBreak/>
        <w:t xml:space="preserve">odpowiedni wniosek. W </w:t>
      </w:r>
      <w:r w:rsidRPr="00A07568">
        <w:rPr>
          <w:rFonts w:ascii="Times New Roman" w:hAnsi="Times New Roman"/>
          <w:lang w:eastAsia="pl-PL"/>
        </w:rPr>
        <w:t xml:space="preserve">ocenie projektodawcy jest to termin wystarczająco długi, aby wszyscy zainteresowani skorzystaniem </w:t>
      </w:r>
      <w:r w:rsidR="00542C34">
        <w:rPr>
          <w:rFonts w:ascii="Times New Roman" w:hAnsi="Times New Roman"/>
          <w:lang w:eastAsia="pl-PL"/>
        </w:rPr>
        <w:t>z tego szczególnego rozwiązania</w:t>
      </w:r>
      <w:r w:rsidRPr="00A07568">
        <w:rPr>
          <w:rFonts w:ascii="Times New Roman" w:hAnsi="Times New Roman"/>
          <w:lang w:eastAsia="pl-PL"/>
        </w:rPr>
        <w:t xml:space="preserve"> mi</w:t>
      </w:r>
      <w:r w:rsidR="00542C34">
        <w:rPr>
          <w:rFonts w:ascii="Times New Roman" w:hAnsi="Times New Roman"/>
          <w:lang w:eastAsia="pl-PL"/>
        </w:rPr>
        <w:t>eli w istocie taką możliwość.</w:t>
      </w:r>
    </w:p>
    <w:p w:rsidR="009175DF" w:rsidRPr="009175DF" w:rsidRDefault="00A07568" w:rsidP="009175DF">
      <w:pPr>
        <w:suppressAutoHyphens/>
        <w:autoSpaceDE w:val="0"/>
        <w:autoSpaceDN w:val="0"/>
        <w:adjustRightInd w:val="0"/>
        <w:spacing w:after="120" w:line="360" w:lineRule="auto"/>
        <w:jc w:val="both"/>
        <w:rPr>
          <w:rFonts w:ascii="Times New Roman" w:hAnsi="Times New Roman"/>
          <w:lang w:eastAsia="pl-PL"/>
        </w:rPr>
      </w:pPr>
      <w:r w:rsidRPr="00A07568">
        <w:rPr>
          <w:rFonts w:ascii="Times New Roman" w:hAnsi="Times New Roman"/>
          <w:lang w:eastAsia="pl-PL"/>
        </w:rPr>
        <w:t>Poprzez odesłanie do odpowiedniego stosowania ust. 1 i 2 projektodawca dąży do tego, żeby również termin na złożenie przez cudzoziemca wniosku o udzielenie zezwolenia na pobyt stały, zezwolenia na pobyt rezydenta długoterminowego Unii Europejskiej, o przedłużenie wizy oraz przedłużenie pobytu w ramach ruchu bezwizowego uległ stosownemu przedłużeniu, jak również, aby takiemu przedłużeniu uległy terminy na składanie wniosków o udzielenie zezwolenia na pobyt czasowy pr</w:t>
      </w:r>
      <w:r w:rsidR="009175DF">
        <w:rPr>
          <w:rFonts w:ascii="Times New Roman" w:hAnsi="Times New Roman"/>
          <w:lang w:eastAsia="pl-PL"/>
        </w:rPr>
        <w:t>zez tzw. jednostkę przyjmującą.</w:t>
      </w:r>
    </w:p>
    <w:p w:rsidR="00F67DF0" w:rsidRDefault="00F67DF0"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opłaty prolongacyjnej w podatkach:</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W związku z rozprzestrzenianiem się zakażeń wirusem SARS-CoV-2 istnieje konieczność wprowadzenia szczególnego rozwiązania, które ułatwi wywiązanie się przez podatników i płatników oraz inne podmioty (inkasentów, następców prawnych oraz osoby trzecie) z dec</w:t>
      </w:r>
      <w:r>
        <w:rPr>
          <w:rFonts w:ascii="Times New Roman" w:hAnsi="Times New Roman"/>
          <w:lang w:eastAsia="pl-PL"/>
        </w:rPr>
        <w:t>yzji ratalnych i </w:t>
      </w:r>
      <w:r w:rsidRPr="00F67DF0">
        <w:rPr>
          <w:rFonts w:ascii="Times New Roman" w:hAnsi="Times New Roman"/>
          <w:lang w:eastAsia="pl-PL"/>
        </w:rPr>
        <w:t>odroczeniowych dotyczących podatków stanowiących dochód budżetu państwa.</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Aktualnie art. 57 § 1 ustawy – Ordynacja podatkowa obliguje organ podatkowy do ustalenia w decyzji ulgowej wydanej na podstawie art. 67a § 1 pkt 1 lub 2, dotyczącej podatków stanowiących dochód budżetu państwa, opłaty prolongacyjnej od kwoty podatku lub zaległości. Powołany przepis stosuje się również do odroczonych lub rozłożonych na raty należności płatników, inkasentów, następców prawnych oraz osób trzecich. Stawka opłaty prolongacyjnej jest równa obniżonej stawce odsetek za zwłokę, co stanowi 50% podstawowej stawki odsetek za zwłokę. Dla zobowiązań stanowiących dochód jednostki samorządu terytorialnego opłata prolongacyjna może zostać wprowadzona przez organ stanowiący właściwej jednostki samorządu w drodze uchwały (art. 57 § 7 Ordynacji podatkowej).</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W projektowanym przepisie zaproponowano regulację, dzięki której z tytułu rozłożenia na raty lub odroczenia terminu płatności podatków i zaległości podatkowych stanowiących dochód budżetu państwa opłata prolongacyjna nie będzie naliczana. Rezygnacja z ustalenia opłaty prolongacyjnej zwiększy realne szanse na uregulowanie przez podatników, płatników oraz inne podmioty (inkasentów, następców prawnych oraz osoby trzecie) odroczonych i rozłożonych na raty należności podatkowych</w:t>
      </w:r>
    </w:p>
    <w:p w:rsidR="00F67DF0" w:rsidRDefault="00F67DF0"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opłaty prolongacyjnej w składkach ZUS:</w:t>
      </w:r>
    </w:p>
    <w:p w:rsidR="00F67DF0" w:rsidRPr="00F67DF0" w:rsidRDefault="00F67DF0" w:rsidP="00F67DF0">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t>Projektowany przepis przewiduje, że przedsiębiorcy którzy mają tru</w:t>
      </w:r>
      <w:r>
        <w:rPr>
          <w:rFonts w:ascii="Times New Roman" w:hAnsi="Times New Roman"/>
          <w:lang w:eastAsia="pl-PL"/>
        </w:rPr>
        <w:t>dności w opłaceniu należności z </w:t>
      </w:r>
      <w:r w:rsidRPr="00F67DF0">
        <w:rPr>
          <w:rFonts w:ascii="Times New Roman" w:hAnsi="Times New Roman"/>
          <w:lang w:eastAsia="pl-PL"/>
        </w:rPr>
        <w:t>tytułu składek należnych za okres od stycznia 2020 r. do poboru których zobowiązany jest Zakład Ubezpieczeń Społecznych, w przypadku zawarcia umowy o odroczenie terminu płatności składek lub umowy o rozłożenie należności na raty, będą zwolnieni z konieczności uiszczania opłaty prolongacyjnej.</w:t>
      </w:r>
    </w:p>
    <w:p w:rsidR="001D0A48" w:rsidRPr="001D0A48" w:rsidRDefault="00F67DF0" w:rsidP="001D0A48">
      <w:pPr>
        <w:suppressAutoHyphens/>
        <w:autoSpaceDE w:val="0"/>
        <w:autoSpaceDN w:val="0"/>
        <w:adjustRightInd w:val="0"/>
        <w:spacing w:after="120" w:line="360" w:lineRule="auto"/>
        <w:jc w:val="both"/>
        <w:rPr>
          <w:rFonts w:ascii="Times New Roman" w:hAnsi="Times New Roman"/>
          <w:lang w:eastAsia="pl-PL"/>
        </w:rPr>
      </w:pPr>
      <w:r w:rsidRPr="00F67DF0">
        <w:rPr>
          <w:rFonts w:ascii="Times New Roman" w:hAnsi="Times New Roman"/>
          <w:lang w:eastAsia="pl-PL"/>
        </w:rPr>
        <w:lastRenderedPageBreak/>
        <w:t>W przypadku zawarcia takiego typu umów nie nalicza się odsetek za zwłokę począwszy od następnego dnia po dniu wpływu wniosku o udzielenie tych ulg. Projektowany przepis wprowadza dodatkowo zwolnienie z opłacania opłaty prolongacyjnej, która była naliczana w miejsce odsetek za zwłokę.</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orzecznictwa o niepełnosprawności:</w:t>
      </w:r>
    </w:p>
    <w:p w:rsidR="001D0A48" w:rsidRPr="008C00FD" w:rsidRDefault="001D0A48" w:rsidP="001D0A48">
      <w:pPr>
        <w:spacing w:after="120" w:line="360" w:lineRule="auto"/>
        <w:jc w:val="both"/>
        <w:rPr>
          <w:rFonts w:ascii="Times New Roman" w:hAnsi="Times New Roman"/>
          <w:color w:val="000000" w:themeColor="text1"/>
          <w:szCs w:val="24"/>
        </w:rPr>
      </w:pPr>
      <w:r w:rsidRPr="008C00FD">
        <w:rPr>
          <w:rFonts w:ascii="Times New Roman" w:hAnsi="Times New Roman"/>
          <w:iCs/>
          <w:color w:val="000000" w:themeColor="text1"/>
          <w:szCs w:val="24"/>
          <w:lang w:eastAsia="pl-PL"/>
        </w:rPr>
        <w:t xml:space="preserve">Wprowadzona regulacja zakłada wydłużenie terminu ważności orzeczeń o niepełnosprawności albo orzeczeń o stopniu niepełnosprawności. Powyższe wydłużenie dotyczy tych orzeczeń, </w:t>
      </w:r>
      <w:r w:rsidRPr="008C00FD">
        <w:rPr>
          <w:rFonts w:ascii="Times New Roman" w:hAnsi="Times New Roman"/>
          <w:color w:val="000000" w:themeColor="text1"/>
          <w:szCs w:val="24"/>
        </w:rPr>
        <w:t xml:space="preserve">których ważność upływa </w:t>
      </w:r>
      <w:r w:rsidRPr="008C00FD">
        <w:rPr>
          <w:rFonts w:ascii="Times New Roman" w:hAnsi="Times New Roman"/>
          <w:szCs w:val="24"/>
        </w:rPr>
        <w:t>po dniu 6 lutym 2020 r., czyli 30 dni przed dniem wejścia w ż</w:t>
      </w:r>
      <w:r>
        <w:rPr>
          <w:rFonts w:ascii="Times New Roman" w:hAnsi="Times New Roman"/>
          <w:color w:val="000000" w:themeColor="text1"/>
          <w:szCs w:val="24"/>
        </w:rPr>
        <w:t>ycie ustawy o </w:t>
      </w:r>
      <w:r w:rsidRPr="008C00FD">
        <w:rPr>
          <w:rFonts w:ascii="Times New Roman" w:hAnsi="Times New Roman"/>
          <w:color w:val="000000" w:themeColor="text1"/>
          <w:szCs w:val="24"/>
        </w:rPr>
        <w:t xml:space="preserve">szczególnych rozwiązaniach związanych z zapobieganiem, przeciwdziałaniem i zwalczaniem COVID-19, innych chorób zakaźnych oraz wywołanych nimi sytuacji kryzysowych. Maksymalny termin ważności wydłużonych orzeczeń </w:t>
      </w:r>
      <w:r w:rsidRPr="008C00FD">
        <w:rPr>
          <w:rFonts w:ascii="Times New Roman" w:hAnsi="Times New Roman"/>
          <w:iCs/>
          <w:color w:val="000000" w:themeColor="text1"/>
          <w:szCs w:val="24"/>
          <w:lang w:eastAsia="pl-PL"/>
        </w:rPr>
        <w:t xml:space="preserve">upływa w terminie </w:t>
      </w:r>
      <w:r w:rsidRPr="008C00FD">
        <w:rPr>
          <w:rFonts w:ascii="Times New Roman" w:hAnsi="Times New Roman"/>
          <w:color w:val="000000" w:themeColor="text1"/>
          <w:szCs w:val="24"/>
        </w:rPr>
        <w:t>do 60 dnia od dnia odwołania stanu zagrożenia epidemicznego lub stanu epidemii, jednak nie dłużej niż do dnia wydania nowego orzeczenia o niepełnosprawności albo orzeczeni</w:t>
      </w:r>
      <w:r>
        <w:rPr>
          <w:rFonts w:ascii="Times New Roman" w:hAnsi="Times New Roman"/>
          <w:color w:val="000000" w:themeColor="text1"/>
          <w:szCs w:val="24"/>
        </w:rPr>
        <w:t>a o stopniu niepełnosprawności.</w:t>
      </w:r>
    </w:p>
    <w:p w:rsidR="001D0A48" w:rsidRPr="008C00FD" w:rsidRDefault="001D0A48" w:rsidP="001D0A48">
      <w:pPr>
        <w:tabs>
          <w:tab w:val="left" w:pos="709"/>
          <w:tab w:val="left" w:pos="3261"/>
        </w:tabs>
        <w:spacing w:after="120" w:line="360" w:lineRule="auto"/>
        <w:jc w:val="both"/>
        <w:rPr>
          <w:rFonts w:ascii="Times New Roman" w:hAnsi="Times New Roman"/>
          <w:color w:val="000000" w:themeColor="text1"/>
          <w:szCs w:val="24"/>
        </w:rPr>
      </w:pPr>
      <w:r>
        <w:rPr>
          <w:rFonts w:ascii="Times New Roman" w:hAnsi="Times New Roman"/>
          <w:color w:val="000000" w:themeColor="text1"/>
          <w:szCs w:val="24"/>
        </w:rPr>
        <w:t>Analogicznemu wydłużeniu</w:t>
      </w:r>
      <w:r w:rsidRPr="008C00FD">
        <w:rPr>
          <w:rFonts w:ascii="Times New Roman" w:hAnsi="Times New Roman"/>
          <w:color w:val="000000" w:themeColor="text1"/>
          <w:szCs w:val="24"/>
        </w:rPr>
        <w:t xml:space="preserve"> po</w:t>
      </w:r>
      <w:r>
        <w:rPr>
          <w:rFonts w:ascii="Times New Roman" w:hAnsi="Times New Roman"/>
          <w:color w:val="000000" w:themeColor="text1"/>
          <w:szCs w:val="24"/>
        </w:rPr>
        <w:t>dlega ważność kart parkingowych,</w:t>
      </w:r>
      <w:r w:rsidRPr="008C00FD">
        <w:rPr>
          <w:rFonts w:ascii="Times New Roman" w:hAnsi="Times New Roman"/>
          <w:color w:val="000000" w:themeColor="text1"/>
          <w:szCs w:val="24"/>
        </w:rPr>
        <w:t xml:space="preserve"> wydanych zarówno dla osób niepełnosprawnych, jak i placówek zajmujący</w:t>
      </w:r>
      <w:r>
        <w:rPr>
          <w:rFonts w:ascii="Times New Roman" w:hAnsi="Times New Roman"/>
          <w:color w:val="000000" w:themeColor="text1"/>
          <w:szCs w:val="24"/>
        </w:rPr>
        <w:t>ch się opieką nad tymi osobami.</w:t>
      </w:r>
    </w:p>
    <w:p w:rsidR="001D0A48" w:rsidRPr="008C00FD" w:rsidRDefault="001D0A48" w:rsidP="001D0A48">
      <w:pPr>
        <w:tabs>
          <w:tab w:val="left" w:pos="709"/>
          <w:tab w:val="left" w:pos="3261"/>
        </w:tabs>
        <w:spacing w:after="120" w:line="360" w:lineRule="auto"/>
        <w:jc w:val="both"/>
        <w:rPr>
          <w:rFonts w:ascii="Times New Roman" w:eastAsia="Times New Roman" w:hAnsi="Times New Roman"/>
          <w:color w:val="000000" w:themeColor="text1"/>
          <w:szCs w:val="24"/>
          <w:lang w:eastAsia="pl-PL"/>
        </w:rPr>
      </w:pPr>
      <w:r w:rsidRPr="008C00FD">
        <w:rPr>
          <w:rFonts w:ascii="Times New Roman" w:hAnsi="Times New Roman"/>
          <w:iCs/>
          <w:color w:val="000000" w:themeColor="text1"/>
          <w:szCs w:val="24"/>
          <w:lang w:eastAsia="pl-PL"/>
        </w:rPr>
        <w:t>W przypadku w którym osoba wnioskująca o wydanie orzeczenia nie uzyska orzeczenia jako dokumentu potwierdzającego jej niepełnosprawność</w:t>
      </w:r>
      <w:r>
        <w:rPr>
          <w:rFonts w:ascii="Times New Roman" w:hAnsi="Times New Roman"/>
          <w:iCs/>
          <w:color w:val="000000" w:themeColor="text1"/>
          <w:szCs w:val="24"/>
          <w:lang w:eastAsia="pl-PL"/>
        </w:rPr>
        <w:t>,</w:t>
      </w:r>
      <w:r w:rsidRPr="008C00FD">
        <w:rPr>
          <w:rFonts w:ascii="Times New Roman" w:hAnsi="Times New Roman"/>
          <w:iCs/>
          <w:color w:val="000000" w:themeColor="text1"/>
          <w:szCs w:val="24"/>
          <w:lang w:eastAsia="pl-PL"/>
        </w:rPr>
        <w:t xml:space="preserve"> traci prawo do wielu ulg, uprawień i świadczeń pieniężnych, nie będzie mogła również korzystać z różnych form rehabilitacji. Przerwanie ciągłości procesu orzekania oraz znaczny okres oczekiwania na wydanie orzeczenia może wywołać wiele </w:t>
      </w:r>
      <w:r w:rsidRPr="008C00FD">
        <w:rPr>
          <w:rFonts w:ascii="Times New Roman" w:eastAsia="Times New Roman" w:hAnsi="Times New Roman"/>
          <w:color w:val="000000" w:themeColor="text1"/>
          <w:szCs w:val="24"/>
          <w:lang w:eastAsia="pl-PL"/>
        </w:rPr>
        <w:t xml:space="preserve">negatywnych skutków dla osób niepełnosprawnych </w:t>
      </w:r>
      <w:r>
        <w:rPr>
          <w:rFonts w:ascii="Times New Roman" w:eastAsia="Times New Roman" w:hAnsi="Times New Roman"/>
          <w:color w:val="000000" w:themeColor="text1"/>
          <w:szCs w:val="24"/>
          <w:lang w:eastAsia="pl-PL"/>
        </w:rPr>
        <w:t>jak i pracodawców.</w:t>
      </w:r>
    </w:p>
    <w:p w:rsidR="001D0A48" w:rsidRPr="008C00FD" w:rsidRDefault="001D0A48" w:rsidP="001D0A48">
      <w:pPr>
        <w:spacing w:after="120" w:line="360" w:lineRule="auto"/>
        <w:ind w:right="-108"/>
        <w:jc w:val="both"/>
        <w:rPr>
          <w:rFonts w:ascii="Times New Roman" w:hAnsi="Times New Roman"/>
          <w:color w:val="000000" w:themeColor="text1"/>
          <w:szCs w:val="24"/>
          <w:lang w:eastAsia="pl-PL"/>
        </w:rPr>
      </w:pPr>
      <w:r w:rsidRPr="008C00FD">
        <w:rPr>
          <w:rFonts w:ascii="Times New Roman" w:hAnsi="Times New Roman"/>
          <w:color w:val="000000" w:themeColor="text1"/>
          <w:szCs w:val="24"/>
          <w:lang w:eastAsia="pl-PL"/>
        </w:rPr>
        <w:t xml:space="preserve">Powiatowe zespoły do spraw orzekania o niepełnosprawności </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jako</w:t>
      </w:r>
      <w:r>
        <w:rPr>
          <w:rFonts w:ascii="Times New Roman" w:hAnsi="Times New Roman"/>
          <w:color w:val="000000" w:themeColor="text1"/>
          <w:szCs w:val="24"/>
          <w:lang w:eastAsia="pl-PL"/>
        </w:rPr>
        <w:t xml:space="preserve"> </w:t>
      </w:r>
      <w:r w:rsidRPr="008C00FD">
        <w:rPr>
          <w:rFonts w:ascii="Times New Roman" w:hAnsi="Times New Roman"/>
          <w:color w:val="000000" w:themeColor="text1"/>
          <w:szCs w:val="24"/>
          <w:lang w:eastAsia="pl-PL"/>
        </w:rPr>
        <w:t>pierwsza instancja</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 xml:space="preserve"> oraz wojewódzkie zespoły do spraw orzekania o niepełnosprawności </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jako</w:t>
      </w:r>
      <w:r>
        <w:rPr>
          <w:rFonts w:ascii="Times New Roman" w:hAnsi="Times New Roman"/>
          <w:color w:val="000000" w:themeColor="text1"/>
          <w:szCs w:val="24"/>
          <w:lang w:eastAsia="pl-PL"/>
        </w:rPr>
        <w:t xml:space="preserve"> </w:t>
      </w:r>
      <w:r w:rsidRPr="008C00FD">
        <w:rPr>
          <w:rFonts w:ascii="Times New Roman" w:hAnsi="Times New Roman"/>
          <w:color w:val="000000" w:themeColor="text1"/>
          <w:szCs w:val="24"/>
          <w:lang w:eastAsia="pl-PL"/>
        </w:rPr>
        <w:t>druga instancja</w:t>
      </w:r>
      <w:r>
        <w:rPr>
          <w:rFonts w:ascii="Times New Roman" w:hAnsi="Times New Roman"/>
          <w:color w:val="000000" w:themeColor="text1"/>
          <w:szCs w:val="24"/>
          <w:lang w:eastAsia="pl-PL"/>
        </w:rPr>
        <w:t>)</w:t>
      </w:r>
      <w:r w:rsidRPr="008C00FD">
        <w:rPr>
          <w:rFonts w:ascii="Times New Roman" w:hAnsi="Times New Roman"/>
          <w:color w:val="000000" w:themeColor="text1"/>
          <w:szCs w:val="24"/>
          <w:lang w:eastAsia="pl-PL"/>
        </w:rPr>
        <w:t xml:space="preserve"> wydają orzeczenia o niepełnosprawności, stopniu niepełnosprawności oraz orzeczenia </w:t>
      </w:r>
      <w:r>
        <w:rPr>
          <w:rFonts w:ascii="Times New Roman" w:hAnsi="Times New Roman"/>
          <w:color w:val="000000" w:themeColor="text1"/>
          <w:szCs w:val="24"/>
          <w:lang w:eastAsia="pl-PL"/>
        </w:rPr>
        <w:t>o wskazaniach do ulg i </w:t>
      </w:r>
      <w:r w:rsidRPr="008C00FD">
        <w:rPr>
          <w:rFonts w:ascii="Times New Roman" w:hAnsi="Times New Roman"/>
          <w:color w:val="000000" w:themeColor="text1"/>
          <w:szCs w:val="24"/>
          <w:lang w:eastAsia="pl-PL"/>
        </w:rPr>
        <w:t xml:space="preserve">uprawnień. </w:t>
      </w:r>
      <w:r w:rsidRPr="008C00FD">
        <w:rPr>
          <w:rFonts w:ascii="Times New Roman" w:hAnsi="Times New Roman" w:cs="Verdana"/>
          <w:color w:val="000000" w:themeColor="text1"/>
          <w:szCs w:val="24"/>
          <w:lang w:eastAsia="pl-PL"/>
        </w:rPr>
        <w:t xml:space="preserve">Wydanie przez zespół do spraw orzekania o niepełnosprawności orzeczenia ustalającego niepełnosprawność albo stopnień niepełnosprawności </w:t>
      </w:r>
      <w:r>
        <w:rPr>
          <w:rFonts w:ascii="Times New Roman" w:hAnsi="Times New Roman"/>
          <w:color w:val="000000" w:themeColor="text1"/>
          <w:szCs w:val="24"/>
          <w:lang w:eastAsia="pl-PL"/>
        </w:rPr>
        <w:t>oraz związanych z nim wskazań</w:t>
      </w:r>
      <w:r w:rsidRPr="008C00FD">
        <w:rPr>
          <w:rFonts w:ascii="Times New Roman" w:hAnsi="Times New Roman"/>
          <w:color w:val="000000" w:themeColor="text1"/>
          <w:szCs w:val="24"/>
          <w:lang w:eastAsia="pl-PL"/>
        </w:rPr>
        <w:t xml:space="preserve"> następuje po przeprowadzeniu przez skład orzekający postępowania obejmującego badanie lekarskie oraz wywiad sporządzony przez co najmniej jednego specjalistę (spośród: psychologa, pedagoga, pracownika socjalnego albo doradcy zawodowego) co do zasady po osobistym stawiennictwie osoby orzekanej </w:t>
      </w:r>
      <w:r>
        <w:rPr>
          <w:rFonts w:ascii="Times New Roman" w:hAnsi="Times New Roman"/>
          <w:color w:val="000000" w:themeColor="text1"/>
          <w:szCs w:val="24"/>
          <w:lang w:eastAsia="pl-PL"/>
        </w:rPr>
        <w:t>w </w:t>
      </w:r>
      <w:r w:rsidRPr="008C00FD">
        <w:rPr>
          <w:rFonts w:ascii="Times New Roman" w:hAnsi="Times New Roman"/>
          <w:color w:val="000000" w:themeColor="text1"/>
          <w:szCs w:val="24"/>
          <w:lang w:eastAsia="pl-PL"/>
        </w:rPr>
        <w:t>zespole. Szacuje się, że organy orzecznicze wydają miesięcznie łącznie ok. 60 tys. orzeczeń potw</w:t>
      </w:r>
      <w:r>
        <w:rPr>
          <w:rFonts w:ascii="Times New Roman" w:hAnsi="Times New Roman"/>
          <w:color w:val="000000" w:themeColor="text1"/>
          <w:szCs w:val="24"/>
          <w:lang w:eastAsia="pl-PL"/>
        </w:rPr>
        <w:t>ierdzających niepełnosprawność.</w:t>
      </w:r>
    </w:p>
    <w:p w:rsidR="001D0A48" w:rsidRPr="008C00FD" w:rsidRDefault="001D0A48" w:rsidP="001D0A48">
      <w:pPr>
        <w:tabs>
          <w:tab w:val="left" w:pos="709"/>
          <w:tab w:val="left" w:pos="3261"/>
        </w:tabs>
        <w:spacing w:after="120" w:line="360" w:lineRule="auto"/>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Orzeczenie o zaliczeniu osoby do osób niepełnosprawnych potwierdza samą niepełnosprawność, wskazuje również formy rehabilitacji zawodowej i społecznej z jakich osoba, która uzyskała status osoby niepełnosprawnej może korzystać oraz warunkuje prawo do korzystania z wielu ulg i uprawnień przyznanych na podstawie odrębnych przepisów.</w:t>
      </w:r>
    </w:p>
    <w:p w:rsidR="001D0A48" w:rsidRPr="008C00FD" w:rsidRDefault="001D0A48" w:rsidP="001D0A48">
      <w:pPr>
        <w:tabs>
          <w:tab w:val="left" w:pos="709"/>
          <w:tab w:val="left" w:pos="3261"/>
        </w:tabs>
        <w:spacing w:after="120" w:line="360" w:lineRule="auto"/>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Orzeczenie pozwala korzystać z szeregu form pomocy i uprawnień</w:t>
      </w:r>
      <w:r>
        <w:rPr>
          <w:rFonts w:ascii="Times New Roman" w:hAnsi="Times New Roman"/>
          <w:iCs/>
          <w:color w:val="000000" w:themeColor="text1"/>
          <w:szCs w:val="24"/>
          <w:lang w:eastAsia="pl-PL"/>
        </w:rPr>
        <w:t>,</w:t>
      </w:r>
      <w:r w:rsidRPr="008C00FD">
        <w:rPr>
          <w:rFonts w:ascii="Times New Roman" w:hAnsi="Times New Roman"/>
          <w:iCs/>
          <w:color w:val="000000" w:themeColor="text1"/>
          <w:szCs w:val="24"/>
          <w:lang w:eastAsia="pl-PL"/>
        </w:rPr>
        <w:t xml:space="preserve"> do których należą:</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lastRenderedPageBreak/>
        <w:t>w zakresie rehabilitacji zawodowej i zatrudnienia m.in.:</w:t>
      </w:r>
    </w:p>
    <w:p w:rsidR="001D0A48" w:rsidRPr="008C00FD" w:rsidRDefault="001D0A48" w:rsidP="00EC324B">
      <w:pPr>
        <w:numPr>
          <w:ilvl w:val="0"/>
          <w:numId w:val="2"/>
        </w:numPr>
        <w:tabs>
          <w:tab w:val="left" w:pos="709"/>
          <w:tab w:val="left" w:pos="3261"/>
        </w:tabs>
        <w:spacing w:after="120" w:line="360" w:lineRule="auto"/>
        <w:ind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możliwość uzyskania odpowiedniego zatrudnienia (w tym w z</w:t>
      </w:r>
      <w:r>
        <w:rPr>
          <w:rFonts w:ascii="Times New Roman" w:hAnsi="Times New Roman"/>
          <w:iCs/>
          <w:color w:val="000000" w:themeColor="text1"/>
          <w:szCs w:val="24"/>
          <w:lang w:eastAsia="pl-PL"/>
        </w:rPr>
        <w:t>akładach aktywności zawodowej i zakładach pracy chronionej),</w:t>
      </w:r>
    </w:p>
    <w:p w:rsidR="001D0A48" w:rsidRPr="008C00FD" w:rsidRDefault="001D0A48" w:rsidP="00EC324B">
      <w:pPr>
        <w:numPr>
          <w:ilvl w:val="0"/>
          <w:numId w:val="2"/>
        </w:numPr>
        <w:tabs>
          <w:tab w:val="left" w:pos="709"/>
          <w:tab w:val="left" w:pos="3261"/>
        </w:tabs>
        <w:spacing w:after="120" w:line="360" w:lineRule="auto"/>
        <w:ind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możliwość uczestnictwa w szkole</w:t>
      </w:r>
      <w:r>
        <w:rPr>
          <w:rFonts w:ascii="Times New Roman" w:hAnsi="Times New Roman"/>
          <w:iCs/>
          <w:color w:val="000000" w:themeColor="text1"/>
          <w:szCs w:val="24"/>
          <w:lang w:eastAsia="pl-PL"/>
        </w:rPr>
        <w:t>niach (w tym specjalistycznych),</w:t>
      </w:r>
    </w:p>
    <w:p w:rsidR="001D0A48" w:rsidRPr="008C00FD" w:rsidRDefault="001D0A48" w:rsidP="00EC324B">
      <w:pPr>
        <w:numPr>
          <w:ilvl w:val="0"/>
          <w:numId w:val="2"/>
        </w:numPr>
        <w:tabs>
          <w:tab w:val="left" w:pos="709"/>
          <w:tab w:val="left" w:pos="3261"/>
        </w:tabs>
        <w:spacing w:after="120" w:line="360" w:lineRule="auto"/>
        <w:ind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 xml:space="preserve">możliwość korzystania ze ściśle określonych przywilejów pracowniczych, tj. prawa </w:t>
      </w:r>
      <w:r w:rsidRPr="008C00FD">
        <w:rPr>
          <w:rFonts w:ascii="Times New Roman" w:hAnsi="Times New Roman"/>
          <w:iCs/>
          <w:color w:val="000000" w:themeColor="text1"/>
          <w:szCs w:val="24"/>
          <w:lang w:eastAsia="pl-PL"/>
        </w:rPr>
        <w:br/>
        <w:t>do dodatkowego urlopu wypoczynkowego, dłuższej przerwy w pracy</w:t>
      </w:r>
      <w:r>
        <w:rPr>
          <w:rFonts w:ascii="Times New Roman" w:hAnsi="Times New Roman"/>
          <w:iCs/>
          <w:color w:val="000000" w:themeColor="text1"/>
          <w:szCs w:val="24"/>
          <w:lang w:eastAsia="pl-PL"/>
        </w:rPr>
        <w:t>, krótszego wymiaru czasu pracy,</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w zakresie rehabilitacji społecznej m.in.:</w:t>
      </w:r>
    </w:p>
    <w:p w:rsidR="001D0A48" w:rsidRPr="008C00FD" w:rsidRDefault="001D0A48" w:rsidP="00EC324B">
      <w:pPr>
        <w:numPr>
          <w:ilvl w:val="0"/>
          <w:numId w:val="3"/>
        </w:numPr>
        <w:tabs>
          <w:tab w:val="left" w:pos="709"/>
          <w:tab w:val="left" w:pos="3261"/>
        </w:tabs>
        <w:spacing w:after="120" w:line="360" w:lineRule="auto"/>
        <w:ind w:left="360"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możliwość uczestnictwa w terapii zajęciowej realizowanej w warsztatach terapii zajęciowej oraz możliwość uczestnictw</w:t>
      </w:r>
      <w:r>
        <w:rPr>
          <w:rFonts w:ascii="Times New Roman" w:hAnsi="Times New Roman"/>
          <w:iCs/>
          <w:color w:val="000000" w:themeColor="text1"/>
          <w:szCs w:val="24"/>
          <w:lang w:eastAsia="pl-PL"/>
        </w:rPr>
        <w:t>a w turnusach rehabilitacyjnych,</w:t>
      </w:r>
    </w:p>
    <w:p w:rsidR="001D0A48" w:rsidRPr="008C00FD" w:rsidRDefault="001D0A48" w:rsidP="00EC324B">
      <w:pPr>
        <w:numPr>
          <w:ilvl w:val="0"/>
          <w:numId w:val="3"/>
        </w:numPr>
        <w:tabs>
          <w:tab w:val="left" w:pos="709"/>
          <w:tab w:val="left" w:pos="3261"/>
        </w:tabs>
        <w:spacing w:after="120" w:line="360" w:lineRule="auto"/>
        <w:ind w:left="360" w:hanging="294"/>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dofinansowanie zaopatrzenia w przedmioty ortopedyczne, środki pomocnicze oraz pomoce techniczne, ułatwia</w:t>
      </w:r>
      <w:r>
        <w:rPr>
          <w:rFonts w:ascii="Times New Roman" w:hAnsi="Times New Roman"/>
          <w:iCs/>
          <w:color w:val="000000" w:themeColor="text1"/>
          <w:szCs w:val="24"/>
          <w:lang w:eastAsia="pl-PL"/>
        </w:rPr>
        <w:t>jące funkcjonowanie danej osoby,</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ulgi w podatkach, zniżki w komunikacji, zwolnienia z opłat rad</w:t>
      </w:r>
      <w:r>
        <w:rPr>
          <w:rFonts w:ascii="Times New Roman" w:hAnsi="Times New Roman"/>
          <w:iCs/>
          <w:color w:val="000000" w:themeColor="text1"/>
          <w:szCs w:val="24"/>
          <w:lang w:eastAsia="pl-PL"/>
        </w:rPr>
        <w:t>iowo-telewizyjnych (abonamentu),</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usługi socjalne, opiekuńcze, terapeutyczne i rehabilitacyjne świadczone przez instytucje pomocy społecznej, organizacje</w:t>
      </w:r>
      <w:r>
        <w:rPr>
          <w:rFonts w:ascii="Times New Roman" w:hAnsi="Times New Roman"/>
          <w:iCs/>
          <w:color w:val="000000" w:themeColor="text1"/>
          <w:szCs w:val="24"/>
          <w:lang w:eastAsia="pl-PL"/>
        </w:rPr>
        <w:t xml:space="preserve"> pozarządowe oraz inne placówki,</w:t>
      </w:r>
    </w:p>
    <w:p w:rsidR="001D0A48" w:rsidRPr="008C00FD" w:rsidRDefault="001D0A48" w:rsidP="00EC324B">
      <w:pPr>
        <w:numPr>
          <w:ilvl w:val="0"/>
          <w:numId w:val="15"/>
        </w:numPr>
        <w:tabs>
          <w:tab w:val="left" w:pos="709"/>
          <w:tab w:val="left" w:pos="3261"/>
        </w:tabs>
        <w:spacing w:after="120" w:line="360" w:lineRule="auto"/>
        <w:ind w:left="360"/>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 xml:space="preserve">uprawnienia do świadczeń rodzinnych: dodatków do zasiłku rodzinnego </w:t>
      </w:r>
      <w:r w:rsidRPr="008C00FD">
        <w:rPr>
          <w:rFonts w:ascii="Times New Roman" w:hAnsi="Times New Roman"/>
          <w:iCs/>
          <w:color w:val="000000" w:themeColor="text1"/>
          <w:szCs w:val="24"/>
          <w:lang w:eastAsia="pl-PL"/>
        </w:rPr>
        <w:br/>
        <w:t>związanych z niepełnosprawnością, świadczeń opiekuńczych, w tym świadczenie pielęgnacyjnego, zasiłku pielęgnacyjnego, sp</w:t>
      </w:r>
      <w:r>
        <w:rPr>
          <w:rFonts w:ascii="Times New Roman" w:hAnsi="Times New Roman"/>
          <w:iCs/>
          <w:color w:val="000000" w:themeColor="text1"/>
          <w:szCs w:val="24"/>
          <w:lang w:eastAsia="pl-PL"/>
        </w:rPr>
        <w:t>ecjalnego zasiłku opiekuńczego,</w:t>
      </w:r>
    </w:p>
    <w:p w:rsidR="001D0A48" w:rsidRPr="00F01208" w:rsidRDefault="001D0A48" w:rsidP="00EC324B">
      <w:pPr>
        <w:numPr>
          <w:ilvl w:val="0"/>
          <w:numId w:val="15"/>
        </w:numPr>
        <w:tabs>
          <w:tab w:val="left" w:pos="709"/>
          <w:tab w:val="left" w:pos="3261"/>
        </w:tabs>
        <w:spacing w:after="120" w:line="360" w:lineRule="auto"/>
        <w:ind w:left="422" w:hanging="357"/>
        <w:jc w:val="both"/>
        <w:rPr>
          <w:rFonts w:ascii="Times New Roman" w:hAnsi="Times New Roman"/>
          <w:iCs/>
          <w:color w:val="000000" w:themeColor="text1"/>
          <w:szCs w:val="24"/>
          <w:lang w:eastAsia="pl-PL"/>
        </w:rPr>
      </w:pPr>
      <w:r w:rsidRPr="008C00FD">
        <w:rPr>
          <w:rFonts w:ascii="Times New Roman" w:hAnsi="Times New Roman"/>
          <w:iCs/>
          <w:color w:val="000000" w:themeColor="text1"/>
          <w:szCs w:val="24"/>
          <w:lang w:eastAsia="pl-PL"/>
        </w:rPr>
        <w:t>uprawnienia do świadczeń z pomocy społecznej (m.in. zasiłek stały, zasiłek okresowy).</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Konieczność sprawnego niezakłóconego orzekania o stopniu niepełnosprawności ma kluczowe znaczenie dla pracodawców zatrudniających osoby niepełnosprawne.</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Konsekwencją braku ważnego orzeczenia potwierdzającego niepełnosprawność będzie też niemożność uzyskiwania przez pracodawcę wsparcia w postaci miesięcznego dofinansowania do wynagrodzenia</w:t>
      </w:r>
      <w:r>
        <w:rPr>
          <w:rFonts w:ascii="Times New Roman" w:hAnsi="Times New Roman"/>
          <w:color w:val="000000" w:themeColor="text1"/>
          <w:szCs w:val="24"/>
        </w:rPr>
        <w:t xml:space="preserve"> pracowników niepełnosprawnych.</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Ponadto posiadanie przez pracowników ważnego orzeczenia o stopniu niepełnosprawności jest niezwykle istotne dla pracodawców posiadających statusy zakładów pracy chronionej lub zakładów aktywności zawodowej. Uzyskanie decyzji w sprawie statusu jest uzależnione m.in. od osiągania określonych wskaźników zatrudnienia osób niepełnosprawnych. Pozbawienie pracodawców statusów zakładów pracy chronionej i zakładów aktywności zawodowej oznaczać będzie z kolei utratę uprawnień do ulg w podatkach i opłatach cywilno-prawnych.</w:t>
      </w:r>
    </w:p>
    <w:p w:rsidR="001D0A48" w:rsidRPr="008C00FD" w:rsidRDefault="001D0A48" w:rsidP="001D0A48">
      <w:pPr>
        <w:autoSpaceDE w:val="0"/>
        <w:autoSpaceDN w:val="0"/>
        <w:adjustRightInd w:val="0"/>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Konieczność wykazywania określonych wskaźników zatrudnienia osób niepełnosprawnych jest istotna także dla pracodawców pobierających miesięczne dofinansowanie</w:t>
      </w:r>
      <w:r>
        <w:rPr>
          <w:rFonts w:ascii="Times New Roman" w:hAnsi="Times New Roman"/>
          <w:color w:val="000000" w:themeColor="text1"/>
          <w:szCs w:val="24"/>
        </w:rPr>
        <w:t xml:space="preserve"> </w:t>
      </w:r>
      <w:r w:rsidRPr="008C00FD">
        <w:rPr>
          <w:rFonts w:ascii="Times New Roman" w:hAnsi="Times New Roman"/>
          <w:color w:val="000000" w:themeColor="text1"/>
          <w:szCs w:val="24"/>
        </w:rPr>
        <w:t>do wynagrodzenia</w:t>
      </w:r>
      <w:r>
        <w:rPr>
          <w:rFonts w:ascii="Times New Roman" w:hAnsi="Times New Roman"/>
          <w:color w:val="000000" w:themeColor="text1"/>
          <w:szCs w:val="24"/>
        </w:rPr>
        <w:t>. J</w:t>
      </w:r>
      <w:r w:rsidRPr="008C00FD">
        <w:rPr>
          <w:rFonts w:ascii="Times New Roman" w:hAnsi="Times New Roman"/>
          <w:color w:val="000000" w:themeColor="text1"/>
          <w:szCs w:val="24"/>
        </w:rPr>
        <w:t xml:space="preserve">eżeli </w:t>
      </w:r>
      <w:r w:rsidRPr="008C00FD">
        <w:rPr>
          <w:rFonts w:ascii="Times New Roman" w:hAnsi="Times New Roman"/>
          <w:color w:val="000000" w:themeColor="text1"/>
          <w:szCs w:val="24"/>
        </w:rPr>
        <w:lastRenderedPageBreak/>
        <w:t>pracodawca zatrudnia powyżej 25 pracowników w przeliczeniu na pełne etaty i nie osiąga wskaźnika zatrudnienia osób niepełnosprawnych w wysokości 6%, jest wyłączony od możliwości pobierania tej pomocy.</w:t>
      </w:r>
    </w:p>
    <w:p w:rsidR="001D0A48" w:rsidRPr="00F01208" w:rsidRDefault="001D0A48" w:rsidP="001D0A48">
      <w:pPr>
        <w:spacing w:after="120" w:line="360" w:lineRule="auto"/>
        <w:jc w:val="both"/>
        <w:rPr>
          <w:rFonts w:ascii="Times New Roman" w:hAnsi="Times New Roman"/>
          <w:color w:val="000000" w:themeColor="text1"/>
          <w:szCs w:val="24"/>
        </w:rPr>
      </w:pPr>
      <w:r w:rsidRPr="008C00FD">
        <w:rPr>
          <w:rFonts w:ascii="Times New Roman" w:hAnsi="Times New Roman"/>
          <w:color w:val="000000" w:themeColor="text1"/>
          <w:szCs w:val="24"/>
        </w:rPr>
        <w:t xml:space="preserve">W przypadku płatników wpłat na Państwowy Fundusz Rehabilitacji Osób Niepełnoprawnych brak ważnych orzeczeń potwierdzających niepełnosprawność pracowników oznaczać będzie albo powstanie obowiązku wpłat </w:t>
      </w:r>
      <w:r>
        <w:rPr>
          <w:rFonts w:ascii="Times New Roman" w:hAnsi="Times New Roman"/>
          <w:color w:val="000000" w:themeColor="text1"/>
          <w:szCs w:val="24"/>
        </w:rPr>
        <w:t>albo</w:t>
      </w:r>
      <w:r w:rsidRPr="008C00FD">
        <w:rPr>
          <w:rFonts w:ascii="Times New Roman" w:hAnsi="Times New Roman"/>
          <w:color w:val="000000" w:themeColor="text1"/>
          <w:szCs w:val="24"/>
        </w:rPr>
        <w:t xml:space="preserve"> większą kwotę tych wpłat.</w:t>
      </w:r>
    </w:p>
    <w:p w:rsidR="001D0A48" w:rsidRPr="001D0A48" w:rsidRDefault="001D0A48" w:rsidP="001D0A48">
      <w:pPr>
        <w:spacing w:after="120" w:line="360" w:lineRule="auto"/>
        <w:jc w:val="both"/>
        <w:rPr>
          <w:rFonts w:ascii="Times New Roman" w:eastAsia="Times New Roman" w:hAnsi="Times New Roman"/>
          <w:color w:val="000000" w:themeColor="text1"/>
          <w:szCs w:val="24"/>
        </w:rPr>
      </w:pPr>
      <w:r w:rsidRPr="008C00FD">
        <w:rPr>
          <w:rFonts w:ascii="Times New Roman" w:eastAsia="Times New Roman" w:hAnsi="Times New Roman"/>
          <w:color w:val="000000" w:themeColor="text1"/>
          <w:szCs w:val="24"/>
        </w:rPr>
        <w:t xml:space="preserve">W przypadku osób, które są uczestnikami programów aktywizacji społecznej i zawodowej finansowanych ze środków </w:t>
      </w:r>
      <w:r w:rsidRPr="008C00FD">
        <w:rPr>
          <w:rFonts w:ascii="Times New Roman" w:hAnsi="Times New Roman"/>
          <w:color w:val="000000" w:themeColor="text1"/>
          <w:szCs w:val="24"/>
        </w:rPr>
        <w:t>Państwow</w:t>
      </w:r>
      <w:r>
        <w:rPr>
          <w:rFonts w:ascii="Times New Roman" w:hAnsi="Times New Roman"/>
          <w:color w:val="000000" w:themeColor="text1"/>
          <w:szCs w:val="24"/>
        </w:rPr>
        <w:t>ego</w:t>
      </w:r>
      <w:r w:rsidRPr="008C00FD">
        <w:rPr>
          <w:rFonts w:ascii="Times New Roman" w:hAnsi="Times New Roman"/>
          <w:color w:val="000000" w:themeColor="text1"/>
          <w:szCs w:val="24"/>
        </w:rPr>
        <w:t xml:space="preserve"> Fundusz</w:t>
      </w:r>
      <w:r>
        <w:rPr>
          <w:rFonts w:ascii="Times New Roman" w:hAnsi="Times New Roman"/>
          <w:color w:val="000000" w:themeColor="text1"/>
          <w:szCs w:val="24"/>
        </w:rPr>
        <w:t>u</w:t>
      </w:r>
      <w:r w:rsidRPr="008C00FD">
        <w:rPr>
          <w:rFonts w:ascii="Times New Roman" w:hAnsi="Times New Roman"/>
          <w:color w:val="000000" w:themeColor="text1"/>
          <w:szCs w:val="24"/>
        </w:rPr>
        <w:t xml:space="preserve"> Rehabilitacji Osób Niepełnoprawnych</w:t>
      </w:r>
      <w:r w:rsidRPr="008C00FD">
        <w:rPr>
          <w:rFonts w:ascii="Times New Roman" w:eastAsia="Times New Roman" w:hAnsi="Times New Roman"/>
          <w:color w:val="000000" w:themeColor="text1"/>
          <w:szCs w:val="24"/>
        </w:rPr>
        <w:t xml:space="preserve"> na podstawie art. 36 i art. 47 ustawy o rehabilitacji zawodowej i społecznej oraz zatrudnianiu osób niepełnosprawnych lub ze środków </w:t>
      </w:r>
      <w:r>
        <w:rPr>
          <w:rFonts w:ascii="Times New Roman" w:eastAsia="Times New Roman" w:hAnsi="Times New Roman"/>
          <w:color w:val="000000" w:themeColor="text1"/>
          <w:szCs w:val="24"/>
        </w:rPr>
        <w:t>Europejskiego Funduszu Społecznego</w:t>
      </w:r>
      <w:r w:rsidRPr="008C00FD">
        <w:rPr>
          <w:rFonts w:ascii="Times New Roman" w:eastAsia="Times New Roman" w:hAnsi="Times New Roman"/>
          <w:color w:val="000000" w:themeColor="text1"/>
          <w:szCs w:val="24"/>
        </w:rPr>
        <w:t xml:space="preserve"> w ramach RPO oraz PO WER i jednocześnie wystąpiły o wydanie kolejnego orzeczenia, w</w:t>
      </w:r>
      <w:r>
        <w:rPr>
          <w:rFonts w:ascii="Times New Roman" w:eastAsia="Times New Roman" w:hAnsi="Times New Roman"/>
          <w:color w:val="000000" w:themeColor="text1"/>
          <w:szCs w:val="24"/>
        </w:rPr>
        <w:t xml:space="preserve"> trakcie swojego uczestnictwa w </w:t>
      </w:r>
      <w:r w:rsidRPr="008C00FD">
        <w:rPr>
          <w:rFonts w:ascii="Times New Roman" w:eastAsia="Times New Roman" w:hAnsi="Times New Roman"/>
          <w:color w:val="000000" w:themeColor="text1"/>
          <w:szCs w:val="24"/>
        </w:rPr>
        <w:t>projekcie, konsekwencją znaczącego odroczenia w czasie możliwości uzyskania decyzji jest utrata statusu beneficjenta programu. Dla realizatorów projektów, którymi w znaczącej większości są organizacje pozarządowe, sytuacja taka oznacza konieczność zwrotów środków przeznaczonych na wsparcie osoby, która nie uzyskała kolejnego orzeczenia w okresie realizacji projektu, uznanych za wydatek niekwalifikowalny.</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orzecznictwa o niezdolności do pracy:</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Proponowane regulacje zakładają wydłużenie terminu ważności orzeczeń o częściowej niezdolności do pracy, o całkowitej niezdolności do pracy, o całkowitej niezdolności do pracy i niezdolności do samodzielnej egzystencji, o niezdolności do samodzielnej egzystencji, o okolicznościach uzasadniających ustalenie uprawnień do świadczenia rehabilitacyjnego, wydanych przez lekarzy orzeczników i komisje lekarskie Zakładu Ubezpieczeń Społecznych na czas określony, stanowiących podstawę do przyznania świadczenia, których ważność upływa w terminie do 30 dni od dnia wejścia w życie specustawy. Nowe przepisy normują również w analogiczny sposób sytuację osób, których wnioski o świadczenie, uzależnione od wydania orzeczenia odpowie</w:t>
      </w:r>
      <w:r>
        <w:rPr>
          <w:rFonts w:ascii="Times New Roman" w:hAnsi="Times New Roman"/>
          <w:lang w:eastAsia="pl-PL"/>
        </w:rPr>
        <w:t>dnio o niezdolności do pracy, o </w:t>
      </w:r>
      <w:r w:rsidRPr="001D0A48">
        <w:rPr>
          <w:rFonts w:ascii="Times New Roman" w:hAnsi="Times New Roman"/>
          <w:lang w:eastAsia="pl-PL"/>
        </w:rPr>
        <w:t>niezdolności do samodzielnej egzystencji, o okolicznościach uzasadniających ustalenie uprawnień do świadczenia rehabilitacyjnego zostały złożone do Zakładu Ubezpieczeń Społecznych i przed dniem wejścia w życie specustawy orzeczenie nie zostało wydane.</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 xml:space="preserve">W konsekwencji tej regulacji o czasowym przedłużeniu ważności orzeczeń możliwe będzie przedłużenie uprawnień i wypłata świadczeń, do których prawo przyznawane jest na podstawie orzeczenia wydanego przez lekarza orzecznika (od którego nie wniesiono sprzeciwu lub co do którego nie zgłoszono zarzutu wadliwości) albo orzeczenia komisji lekarskiej Zakładu Ubezpieczeń Społecznych. Odpowiedniemu wydłużeniu ulegnie również termin ważności książki inwalidy wojennego (wojskowego), legitymacji osoby represjonowanej oraz legitymacji emeryta-rencisty, </w:t>
      </w:r>
      <w:r w:rsidRPr="001D0A48">
        <w:rPr>
          <w:rFonts w:ascii="Times New Roman" w:hAnsi="Times New Roman"/>
          <w:lang w:eastAsia="pl-PL"/>
        </w:rPr>
        <w:lastRenderedPageBreak/>
        <w:t>wydanej przed dniem wejścia w życie specustawy, jeżeli w dokumencie tym określono termin jego ważności.</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przedłużenia wiz krajowych i kart pobytu:</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Zaproponowane zmiany wynikają z konieczności zachowania</w:t>
      </w:r>
      <w:r>
        <w:rPr>
          <w:rFonts w:ascii="Times New Roman" w:hAnsi="Times New Roman"/>
          <w:lang w:eastAsia="pl-PL"/>
        </w:rPr>
        <w:t xml:space="preserve"> ciągłości stosunków prawnych w </w:t>
      </w:r>
      <w:r w:rsidRPr="001D0A48">
        <w:rPr>
          <w:rFonts w:ascii="Times New Roman" w:hAnsi="Times New Roman"/>
          <w:lang w:eastAsia="pl-PL"/>
        </w:rPr>
        <w:t>zakresie legalizacji pobytu cudzoziemców na terytorium Rzeczypospolitej Polskiej. Zgodnie z art. 85 ust. 1 i art. 86 ustawy o cudzoziemcach cudzoziemiec, który zamierza przedłużyć okres swojego pobytu na podstawie wizy krajowej, składa, nie później niż w dniu upływu okresu jego legalnego pobytu na terytorium Rzeczypospolitej Polskiej, wypełniony formularz wniosku o przedłużenie wizy. W przypadku kiedy cudzoziemiec nie zachowa przewidzianego przepisami terminu, odmawia się wszczęcia postępowania w sprawie przedłużenia tej wizy. Zgodnie natom</w:t>
      </w:r>
      <w:r>
        <w:rPr>
          <w:rFonts w:ascii="Times New Roman" w:hAnsi="Times New Roman"/>
          <w:lang w:eastAsia="pl-PL"/>
        </w:rPr>
        <w:t>iast z art. 105 ust. 1 ustawy o </w:t>
      </w:r>
      <w:r w:rsidRPr="001D0A48">
        <w:rPr>
          <w:rFonts w:ascii="Times New Roman" w:hAnsi="Times New Roman"/>
          <w:lang w:eastAsia="pl-PL"/>
        </w:rPr>
        <w:t>cudzoziemcach cudzoziemcy są obowiązani złożyć wniosek o udzielenie mu zezwolenia na pobyt czasowy osobiście do właściwego ze względu na miejsce pob</w:t>
      </w:r>
      <w:r>
        <w:rPr>
          <w:rFonts w:ascii="Times New Roman" w:hAnsi="Times New Roman"/>
          <w:lang w:eastAsia="pl-PL"/>
        </w:rPr>
        <w:t>ytu wojewody, nie później niż w </w:t>
      </w:r>
      <w:r w:rsidRPr="001D0A48">
        <w:rPr>
          <w:rFonts w:ascii="Times New Roman" w:hAnsi="Times New Roman"/>
          <w:lang w:eastAsia="pl-PL"/>
        </w:rPr>
        <w:t>ostatnim dniu jego legalnego pobytu na terytorium Rzeczypospol</w:t>
      </w:r>
      <w:r>
        <w:rPr>
          <w:rFonts w:ascii="Times New Roman" w:hAnsi="Times New Roman"/>
          <w:lang w:eastAsia="pl-PL"/>
        </w:rPr>
        <w:t>itej Polskiej. Jeżeli wniosek o </w:t>
      </w:r>
      <w:r w:rsidRPr="001D0A48">
        <w:rPr>
          <w:rFonts w:ascii="Times New Roman" w:hAnsi="Times New Roman"/>
          <w:lang w:eastAsia="pl-PL"/>
        </w:rPr>
        <w:t>udzielenie zezwolenia na pobyt czasowy nie został złożony przez cudzoziemca osobiście, wojewoda wzywa go do osobistego stawiennictwa w terminie nie krótszym niż 7 dni pod rygorem pozostawienia wniosku bez rozpoznania. W sytuacji zawieszenia przez urzędy wojewódzkie w dniu 16 marca 2020 r. przyjęć interesantów w związku z sytuacją epidemiologiczną (wprowadzeniem stanu zagrożenia epidemicznego) cudzoziemcy, nie będą mogli dochować terminu na z</w:t>
      </w:r>
      <w:r>
        <w:rPr>
          <w:rFonts w:ascii="Times New Roman" w:hAnsi="Times New Roman"/>
          <w:lang w:eastAsia="pl-PL"/>
        </w:rPr>
        <w:t>łożenie ww. wniosków i co się z </w:t>
      </w:r>
      <w:r w:rsidRPr="001D0A48">
        <w:rPr>
          <w:rFonts w:ascii="Times New Roman" w:hAnsi="Times New Roman"/>
          <w:lang w:eastAsia="pl-PL"/>
        </w:rPr>
        <w:t xml:space="preserve">tym wiąże nie będą mogli zalegalizować swojego pobytu na terytorium naszego kraju. Zamknięcie wszystkich urzędów wojewódzkich na terytorium Rzeczypospolitej Polskiej w celu ograniczenia ryzyka zakażeń COVID-19, doprowadzi do sytuacji, w której duża liczba cudzoziemców przebywająca dotychczas w Polsce zgodnie z prawem utraci prawo legalnego pobytu w Polsce. W celu przeciwdziałania delegalizacji ich pobytu na terytorium Rzeczypospolitej Polskiej projektodawca zaproponował, aby w sytuacji kiedy ostatni dzień legalnego pobytu cudzoziemca przebywającego w Polsce na podstawie wizy krajowej, okresu pobytu i okres ważności wizy cudzoziemca ulegał przedłużeniu z mocy prawa do upływu 30-tego dnia następującego po dniu odwołania stanu zagrożenia epidemicznego albo stanu epidemii. Powyższe przedłużanie nie będzie wymagało wydania nowej naklejki wizowej, ponieważ wymagałoby to osobistego stawienia się cudzoziemca w urzędzie w celu ich odbioru. Przepis nie będzie dotyczył wiz Schengen, ponieważ sposób ich przedłużania uregulowany jest w prawie Unii Europejskiej (w ramach dorobku Schengen). Jednocześnie proponuje się, aby okres ważności zezwoleń pobytowych o charakterze terminowym, tj. zezwoleń na pobyt czasowy, ulegał przedłużeniu w sposób analogiczny, z analogiczną rezygnacją z wydawania nowych kart pobytu lub wymianą dotychczasowych. Regulacja prawna nie będzie dotyczyła też zezwoleń na pobyt stały i zezwoleń na pobyt rezydenta długoterminowego </w:t>
      </w:r>
      <w:r>
        <w:rPr>
          <w:rFonts w:ascii="Times New Roman" w:hAnsi="Times New Roman"/>
          <w:lang w:eastAsia="pl-PL"/>
        </w:rPr>
        <w:t>UE, ponieważ są to zezwolenia o </w:t>
      </w:r>
      <w:r w:rsidRPr="001D0A48">
        <w:rPr>
          <w:rFonts w:ascii="Times New Roman" w:hAnsi="Times New Roman"/>
          <w:lang w:eastAsia="pl-PL"/>
        </w:rPr>
        <w:t>charakterze bezterminowym.</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lastRenderedPageBreak/>
        <w:t>W ocenie projektodawcy ta propozycja ma charakter komplementarny względem przepisu, na mocy którego wydłużeniu ulegną terminy na składanie wniosków o udzielenie zezwolenia na pobyt czasowy, zezwolenia na pobyt stały oraz zezwolenia na pobyt rezydenta długoterminowego Unii Europejskiej oraz wniosków o przedłużenie wiz i wniosków o przedłużenie pobytu w ramach ruchu bezwizowego. Ta druga regulacja opiera się bowiem na warunku, że cudzoziemiec po odwołaniu okresu zagrożenia epidemicznego złoży odpowiedni wniosek. Wydłużenie z mocy prawa okresów ważności zezwoleń na pobyt czasowy oraz wiz krajowych automatycznie usunie prawdopodobieństwo popadnięcia przez cudzoziemców posiadających te tytuły pobytow</w:t>
      </w:r>
      <w:r>
        <w:rPr>
          <w:rFonts w:ascii="Times New Roman" w:hAnsi="Times New Roman"/>
          <w:lang w:eastAsia="pl-PL"/>
        </w:rPr>
        <w:t>e wydane przez organy polskie w </w:t>
      </w:r>
      <w:r w:rsidRPr="001D0A48">
        <w:rPr>
          <w:rFonts w:ascii="Times New Roman" w:hAnsi="Times New Roman"/>
          <w:lang w:eastAsia="pl-PL"/>
        </w:rPr>
        <w:t>nielegalny pobyt, bez względu na ich dalszą aktywność po okresie stanu zagrożenia epidemicznego (czy zdecydują się wystąpić z wnioskiem o nowe zezwolenie pobytowe itd.).</w:t>
      </w:r>
    </w:p>
    <w:p w:rsidR="001D0A48" w:rsidRDefault="001D0A48"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najmu powierzchni w obiekcie handlowym:</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W § 5 rozporządzenia w sprawie ogłoszenia na obszarze Rzeczypospolitej Polskiej stanu zagrożenia epidemicznego wprowadzono szereg ograniczeń w prowadzeniu d</w:t>
      </w:r>
      <w:r>
        <w:rPr>
          <w:rFonts w:ascii="Times New Roman" w:hAnsi="Times New Roman"/>
          <w:lang w:eastAsia="pl-PL"/>
        </w:rPr>
        <w:t>ziałalności. Czasowo zakazano w </w:t>
      </w:r>
      <w:r w:rsidRPr="001D0A48">
        <w:rPr>
          <w:rFonts w:ascii="Times New Roman" w:hAnsi="Times New Roman"/>
          <w:lang w:eastAsia="pl-PL"/>
        </w:rPr>
        <w:t>obiektach handlowych o powierzchni sprzedaży powyżej 2000 m2 handlu detalicznego najemcom powierzchni handlowej, których przeważająca działalność polega na handlu: wyrobami tekstylnymi, wyrobami odzieżowymi, obuwiem i wyrobami skórzanymi, meblami i sprzętem oświetleniowym, sprzętem radiowo-telewizyjnym lub sprzętem gospodarstwa dom</w:t>
      </w:r>
      <w:r>
        <w:rPr>
          <w:rFonts w:ascii="Times New Roman" w:hAnsi="Times New Roman"/>
          <w:lang w:eastAsia="pl-PL"/>
        </w:rPr>
        <w:t>owego, artykułami piśmiennymi i </w:t>
      </w:r>
      <w:r w:rsidRPr="001D0A48">
        <w:rPr>
          <w:rFonts w:ascii="Times New Roman" w:hAnsi="Times New Roman"/>
          <w:lang w:eastAsia="pl-PL"/>
        </w:rPr>
        <w:t>księgarskimi, a także prowadzenia działalności gastronomicznej i rozrywkowej.</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Ograniczanie działalności w miejscach, w których jednocześnie prz</w:t>
      </w:r>
      <w:r>
        <w:rPr>
          <w:rFonts w:ascii="Times New Roman" w:hAnsi="Times New Roman"/>
          <w:lang w:eastAsia="pl-PL"/>
        </w:rPr>
        <w:t>ebywa wiele osób, jest jednym z </w:t>
      </w:r>
      <w:r w:rsidRPr="001D0A48">
        <w:rPr>
          <w:rFonts w:ascii="Times New Roman" w:hAnsi="Times New Roman"/>
          <w:lang w:eastAsia="pl-PL"/>
        </w:rPr>
        <w:t>zalecanych przez Światową Organizację Zdrowia działań zapobiegających gwałtownemu rozprzestrzenianiu się COVID-19.</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Co do zasady stan zagrożenia epidemicznego, epidemia lub pand</w:t>
      </w:r>
      <w:r>
        <w:rPr>
          <w:rFonts w:ascii="Times New Roman" w:hAnsi="Times New Roman"/>
          <w:lang w:eastAsia="pl-PL"/>
        </w:rPr>
        <w:t>emia, jako zdarzenia związane z </w:t>
      </w:r>
      <w:r w:rsidRPr="001D0A48">
        <w:rPr>
          <w:rFonts w:ascii="Times New Roman" w:hAnsi="Times New Roman"/>
          <w:lang w:eastAsia="pl-PL"/>
        </w:rPr>
        <w:t>siłami przyrody, a także akty prawa wpływające na możliwość realizacji zobowiązania w ich okresie przez stronę, mogą być uznawane za siłę wyższą. W konsekwencji, brak możliwości prowadzenia działalności ze względu na wprowadzone zakazy lub nakazy w prowadzeniu działalności przez najemców powierzchni w obiektach handlowych o powierzchni sprzedaży pow</w:t>
      </w:r>
      <w:r>
        <w:rPr>
          <w:rFonts w:ascii="Times New Roman" w:hAnsi="Times New Roman"/>
          <w:lang w:eastAsia="pl-PL"/>
        </w:rPr>
        <w:t>yżej 2000</w:t>
      </w:r>
      <w:r w:rsidRPr="001D0A48">
        <w:rPr>
          <w:rFonts w:ascii="Times New Roman" w:hAnsi="Times New Roman"/>
          <w:lang w:eastAsia="pl-PL"/>
        </w:rPr>
        <w:t>m</w:t>
      </w:r>
      <w:r w:rsidRPr="001D0A48">
        <w:rPr>
          <w:rFonts w:ascii="Times New Roman" w:hAnsi="Times New Roman"/>
          <w:vertAlign w:val="superscript"/>
          <w:lang w:eastAsia="pl-PL"/>
        </w:rPr>
        <w:t>2</w:t>
      </w:r>
      <w:r w:rsidRPr="001D0A48">
        <w:rPr>
          <w:rFonts w:ascii="Times New Roman" w:hAnsi="Times New Roman"/>
          <w:lang w:eastAsia="pl-PL"/>
        </w:rPr>
        <w:t xml:space="preserve"> podporządkowanie się przepisom prawa może być przejawem siły wyższej wpływającej na możliwość realizacji zobowiązań zarówno przez wynajmującego, jak i najemcę. Oznacza to, że strony umowy nie ponoszą odpowiedzialności za niewykonanie umowy. Przy wyłączeniu odpowiedzialności ocenia się jednak wszystkie okoliczności sprawy wpływające na możliwość wykonania łączącej strony umowy. Okresy te mogą być także, w zależności od okoliczności danej sprawy, uznawane za nadzwyczajną zmianę stosunków między wynajmującym a najemcą. </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 xml:space="preserve">Zmiana okoliczności wywołana wprowadzeniem zakazu działalności w dużych obiektach handlowych, jako nagła i całkowicie niezależna od stron, uzasadnia </w:t>
      </w:r>
      <w:r>
        <w:rPr>
          <w:rFonts w:ascii="Times New Roman" w:hAnsi="Times New Roman"/>
          <w:lang w:eastAsia="pl-PL"/>
        </w:rPr>
        <w:t>znaczące zmniejszenie czynszu w </w:t>
      </w:r>
      <w:r w:rsidRPr="001D0A48">
        <w:rPr>
          <w:rFonts w:ascii="Times New Roman" w:hAnsi="Times New Roman"/>
          <w:lang w:eastAsia="pl-PL"/>
        </w:rPr>
        <w:t xml:space="preserve">okresie stanu zagrożenia epidemicznego lub stanu epidemii. </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lastRenderedPageBreak/>
        <w:t>Proponuje się określić poprzez przepisy prawa standardową wysokość obniżki wspomnianego czynszu na czas obowiązywania zakazu lub ograniczenia na poziom 90%</w:t>
      </w:r>
      <w:r>
        <w:rPr>
          <w:rFonts w:ascii="Times New Roman" w:hAnsi="Times New Roman"/>
          <w:lang w:eastAsia="pl-PL"/>
        </w:rPr>
        <w:t xml:space="preserve"> czynszu ustalonego w umowie. Z </w:t>
      </w:r>
      <w:r w:rsidRPr="001D0A48">
        <w:rPr>
          <w:rFonts w:ascii="Times New Roman" w:hAnsi="Times New Roman"/>
          <w:lang w:eastAsia="pl-PL"/>
        </w:rPr>
        <w:t>jednej strony, obniżka ta uwzględnia fakt, że wynajmujący nie może przeznaczać powierzchni na aktywne wykonywanie określonych rodzajów działalności, lecz przykładowo może przechowywać czy zapewniać ochronę mienia najemcy. Z drugiej zaś strony najemca nie prowadząc działalności nie osiąga żadnych związanych z nią przychodów, co w przypadku przedłużającego się okresu zakazu może negatywnie wpływać na jego płynność finansową (niewypłacalność). Obniżka czynszu ma na celu zapewnienie sprawiedliwego rozłożenie ciężarów między stronami umowy najmu wynikającymi ze stanu zagrożenia epidemicznego lub stanu epidemii.</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Zmiana dotyczy wszystkich objętych zakazem prowadzenia działalności wynajmujących powierzchnię w obiektach handlowych, w tym np. lokale czy tzw. wyspy.</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Warunkiem obniżenia czynszu jest objęcie najemcy zakazem lub ograniczeniem prowadzenia działalności na podstawie przepisów prawa, a więc m.in. ze wzglę</w:t>
      </w:r>
      <w:r>
        <w:rPr>
          <w:rFonts w:ascii="Times New Roman" w:hAnsi="Times New Roman"/>
          <w:lang w:eastAsia="pl-PL"/>
        </w:rPr>
        <w:t>du na przepisy rozporządzenia w </w:t>
      </w:r>
      <w:r w:rsidRPr="001D0A48">
        <w:rPr>
          <w:rFonts w:ascii="Times New Roman" w:hAnsi="Times New Roman"/>
          <w:lang w:eastAsia="pl-PL"/>
        </w:rPr>
        <w:t>sprawie ogłoszenia na obszarze Rzeczypospolitej Polskiej s</w:t>
      </w:r>
      <w:r>
        <w:rPr>
          <w:rFonts w:ascii="Times New Roman" w:hAnsi="Times New Roman"/>
          <w:lang w:eastAsia="pl-PL"/>
        </w:rPr>
        <w:t>tanu zagrożenia epidemicznego i </w:t>
      </w:r>
      <w:r w:rsidRPr="001D0A48">
        <w:rPr>
          <w:rFonts w:ascii="Times New Roman" w:hAnsi="Times New Roman"/>
          <w:lang w:eastAsia="pl-PL"/>
        </w:rPr>
        <w:t>faktyczne podporządkowanie się temu nakazowi bądź ograniczeniu.</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Jeśli wprowadzana reguła obniżki czynszu o 90% dla wynajmującego albo dla najemcy nie będzie adekwatna, będą oni mieli prawo żądać odpowiednio podniesienia albo dalszego obniżenia wysokości czynszu, z uwzględnieniem względów słuszności i zasad współżycia społecznego. Podobnie jak w art. 3571 ustawy – Kodeks cywilny ustalenie należnej wysokości czynszu w indywidualnych przypadkach będzie należało do sądu.</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Natomiast w przypadku, gdy umowa najmu przewiduje korzystniejsze postanowienia dla najemcy, np. zwalnia go całkowicie w tym okresie z obowiązku zapłaty czynszu</w:t>
      </w:r>
      <w:r>
        <w:rPr>
          <w:rFonts w:ascii="Times New Roman" w:hAnsi="Times New Roman"/>
          <w:lang w:eastAsia="pl-PL"/>
        </w:rPr>
        <w:t>, najemca ma prawo skorzystać z </w:t>
      </w:r>
      <w:r w:rsidRPr="001D0A48">
        <w:rPr>
          <w:rFonts w:ascii="Times New Roman" w:hAnsi="Times New Roman"/>
          <w:lang w:eastAsia="pl-PL"/>
        </w:rPr>
        <w:t>tych postanowień.</w:t>
      </w:r>
    </w:p>
    <w:p w:rsidR="001D0A48" w:rsidRPr="001D0A48" w:rsidRDefault="001D0A48" w:rsidP="001D0A48">
      <w:pPr>
        <w:suppressAutoHyphens/>
        <w:autoSpaceDE w:val="0"/>
        <w:autoSpaceDN w:val="0"/>
        <w:adjustRightInd w:val="0"/>
        <w:spacing w:after="120" w:line="360" w:lineRule="auto"/>
        <w:jc w:val="both"/>
        <w:rPr>
          <w:rFonts w:ascii="Times New Roman" w:hAnsi="Times New Roman"/>
          <w:lang w:eastAsia="pl-PL"/>
        </w:rPr>
      </w:pPr>
      <w:r w:rsidRPr="001D0A48">
        <w:rPr>
          <w:rFonts w:ascii="Times New Roman" w:hAnsi="Times New Roman"/>
          <w:lang w:eastAsia="pl-PL"/>
        </w:rPr>
        <w:t>Zakaz lub ograniczenie działalności najemców wynikający z przepisów prawa jest niezależny od woli i należytej staranności najemców, dlatego nie powinien prowadzić do możliwości pociągnięcia ich do odpowiedzialności odszkodowawczej, w tym przede wszystkim prowadzić do nałożenia na nich kar umownych za niewykonanie lub nienależyte wykonanie zobowiąz</w:t>
      </w:r>
      <w:r>
        <w:rPr>
          <w:rFonts w:ascii="Times New Roman" w:hAnsi="Times New Roman"/>
          <w:lang w:eastAsia="pl-PL"/>
        </w:rPr>
        <w:t>ań niepieniężnych powiązanych z </w:t>
      </w:r>
      <w:r w:rsidRPr="001D0A48">
        <w:rPr>
          <w:rFonts w:ascii="Times New Roman" w:hAnsi="Times New Roman"/>
          <w:lang w:eastAsia="pl-PL"/>
        </w:rPr>
        <w:t>najmem i ze zobowiązaniem płacenia czynszu.</w:t>
      </w:r>
    </w:p>
    <w:p w:rsidR="00445B19" w:rsidRDefault="00445B19"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elastycznego czasu pracy:</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Zaproponowane zmiany polegają na wprowadzeniu dla pracodawców dotkniętych skutkami rozprzestrzeniania się wirusa COVID-19 możliwości:</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w:t>
      </w:r>
      <w:r w:rsidRPr="001C0138">
        <w:rPr>
          <w:rFonts w:ascii="Times New Roman" w:hAnsi="Times New Roman"/>
          <w:lang w:eastAsia="pl-PL"/>
        </w:rPr>
        <w:tab/>
        <w:t>ograniczenia nieprzerwanego odpoczynku dobowego do nie mniej niż 8 godzin (w miejsce wymaganych w Kodeksie pracy co najmniej 11 godzin) i nieprzerwanego odpoczynku tygodniowego do nie mniej niż 32 godzin (w miejsce wymaganych w Kodeksie pracy co najmniej 35 godzin);</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lastRenderedPageBreak/>
        <w:t>-</w:t>
      </w:r>
      <w:r w:rsidRPr="001C0138">
        <w:rPr>
          <w:rFonts w:ascii="Times New Roman" w:hAnsi="Times New Roman"/>
          <w:lang w:eastAsia="pl-PL"/>
        </w:rPr>
        <w:tab/>
        <w:t>zawarcia porozumienia o wprowadzeniu systemu równoważnego czasu pracy, w którym jest dopuszczalne przedłużenie dobowego wymiaru czasu pracy, nie więcej jednak niż do 12 godzin – bez konieczności spełnienia przesłanek do wprowadzenia tego system</w:t>
      </w:r>
      <w:r>
        <w:rPr>
          <w:rFonts w:ascii="Times New Roman" w:hAnsi="Times New Roman"/>
          <w:lang w:eastAsia="pl-PL"/>
        </w:rPr>
        <w:t>u czasu pracy, o których mowa w </w:t>
      </w:r>
      <w:r w:rsidRPr="001C0138">
        <w:rPr>
          <w:rFonts w:ascii="Times New Roman" w:hAnsi="Times New Roman"/>
          <w:lang w:eastAsia="pl-PL"/>
        </w:rPr>
        <w:t>art. 135 § 1 Kodeksu pracy, w dłuższym okresie rozliczeniowym niż wynikający z art. 135 § 1 Kodeksu pracy, tj. nieprzekraczającym 12 miesięcy (podczas gdy Kodeks pozwala na stosowanie 1-miesięcznego okresu, z możliwością przedłużenia do 12 miesięcy, ale w szczególnym trybie);</w:t>
      </w:r>
    </w:p>
    <w:p w:rsidR="001C0138"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w:t>
      </w:r>
      <w:r w:rsidRPr="001C0138">
        <w:rPr>
          <w:rFonts w:ascii="Times New Roman" w:hAnsi="Times New Roman"/>
          <w:lang w:eastAsia="pl-PL"/>
        </w:rPr>
        <w:tab/>
        <w:t>zawarcia porozumienia o stosowaniu mniej korzystnych warunków zatrudnienia pracowników niż wynikające z umów o pracę zawartych z tymi pracownikami, w z</w:t>
      </w:r>
      <w:r>
        <w:rPr>
          <w:rFonts w:ascii="Times New Roman" w:hAnsi="Times New Roman"/>
          <w:lang w:eastAsia="pl-PL"/>
        </w:rPr>
        <w:t>akresie i przez czas ustalone w </w:t>
      </w:r>
      <w:r w:rsidRPr="001C0138">
        <w:rPr>
          <w:rFonts w:ascii="Times New Roman" w:hAnsi="Times New Roman"/>
          <w:lang w:eastAsia="pl-PL"/>
        </w:rPr>
        <w:t>porozumieniu – takie rozwiązanie przewiduje art. 231a k.p., ale dotyczyć ono może tylko pracodawcy nieobjętego układem zbiorowym pracy lub zatrudniającego mniej niż 20 pracowników;</w:t>
      </w:r>
    </w:p>
    <w:p w:rsidR="00445B19" w:rsidRPr="001C0138" w:rsidRDefault="001C0138" w:rsidP="001C0138">
      <w:pPr>
        <w:suppressAutoHyphens/>
        <w:autoSpaceDE w:val="0"/>
        <w:autoSpaceDN w:val="0"/>
        <w:adjustRightInd w:val="0"/>
        <w:spacing w:after="120" w:line="360" w:lineRule="auto"/>
        <w:jc w:val="both"/>
        <w:rPr>
          <w:rFonts w:ascii="Times New Roman" w:hAnsi="Times New Roman"/>
          <w:lang w:eastAsia="pl-PL"/>
        </w:rPr>
      </w:pPr>
      <w:r w:rsidRPr="001C0138">
        <w:rPr>
          <w:rFonts w:ascii="Times New Roman" w:hAnsi="Times New Roman"/>
          <w:lang w:eastAsia="pl-PL"/>
        </w:rPr>
        <w:t>Wprowadzane rozwiązania mają na celu umożliwić pracodawcom bardziej elastyczne zasady ustalania pracownikom czasu pracy, a także umożliwić – w porozumieniu ze związkami zawodowymi, działającymi u pracodawców lub z przedstawicielami pracownik</w:t>
      </w:r>
      <w:r>
        <w:rPr>
          <w:rFonts w:ascii="Times New Roman" w:hAnsi="Times New Roman"/>
          <w:lang w:eastAsia="pl-PL"/>
        </w:rPr>
        <w:t>ów, gdy organizacje związkowe u </w:t>
      </w:r>
      <w:r w:rsidRPr="001C0138">
        <w:rPr>
          <w:rFonts w:ascii="Times New Roman" w:hAnsi="Times New Roman"/>
          <w:lang w:eastAsia="pl-PL"/>
        </w:rPr>
        <w:t>pracodawców nie działają - modyfikację warunków zatrudnienia kształtowanych umowami o pracę pracowników, a tym samym przyczynić się do zachowania miejsc pracy.</w:t>
      </w:r>
    </w:p>
    <w:p w:rsidR="00D30E1D" w:rsidRDefault="001751D7"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Zniesienie obowiązku obecności funkcjonariuszy</w:t>
      </w:r>
      <w:r w:rsidR="00D30E1D">
        <w:rPr>
          <w:rFonts w:ascii="Times New Roman" w:hAnsi="Times New Roman"/>
          <w:b/>
          <w:lang w:eastAsia="pl-PL"/>
        </w:rPr>
        <w:t>:</w:t>
      </w:r>
    </w:p>
    <w:p w:rsidR="001751D7" w:rsidRPr="001751D7" w:rsidRDefault="001751D7" w:rsidP="001751D7">
      <w:pPr>
        <w:suppressAutoHyphens/>
        <w:autoSpaceDE w:val="0"/>
        <w:autoSpaceDN w:val="0"/>
        <w:adjustRightInd w:val="0"/>
        <w:spacing w:after="120" w:line="360" w:lineRule="auto"/>
        <w:jc w:val="both"/>
        <w:rPr>
          <w:rFonts w:ascii="Times New Roman" w:hAnsi="Times New Roman"/>
          <w:lang w:eastAsia="pl-PL"/>
        </w:rPr>
      </w:pPr>
      <w:r w:rsidRPr="001751D7">
        <w:rPr>
          <w:rFonts w:ascii="Times New Roman" w:hAnsi="Times New Roman"/>
          <w:lang w:eastAsia="pl-PL"/>
        </w:rPr>
        <w:t>W obecnym stanie prawnym na podstawie przepisów wydanych na podstawie art. 90 ustawy o</w:t>
      </w:r>
      <w:r>
        <w:rPr>
          <w:rFonts w:ascii="Times New Roman" w:hAnsi="Times New Roman"/>
          <w:lang w:eastAsia="pl-PL"/>
        </w:rPr>
        <w:t> </w:t>
      </w:r>
      <w:r w:rsidRPr="001751D7">
        <w:rPr>
          <w:rFonts w:ascii="Times New Roman" w:hAnsi="Times New Roman"/>
          <w:lang w:eastAsia="pl-PL"/>
        </w:rPr>
        <w:t>Krajowej Administracji Skarbowej w przypadku podmiotów dokonujących czynności dotyczących produkcji, przemieszczania i zużycia wyrobów akcyzowych, w szczególności ich wytwarzania, uszlachetniania, przerabiania, skażania, rozlewu, przyjmowania, magazynowania, wydawania, przewozu i niszczenia, oraz w zakresie stosowania i oznaczania tych wyrobów znakami akcyzy, kontrola celno-skarbowa może być wykonywana jako kontrola doraźna lub kontrola stała i polegać m.in. na bezpośrednim uczestniczeniu kontrolującego w czynnościach związanych z działalnością objętą kontrolą. Przepisy te przewidują obowiązek dokonywania niektórych czynności w obecności funkcjonariusza Służby Celno-Skarbowej albo dokonania niektórych czynności przez funkcjonariusza Służby Celno-Skarbowej. Zasadnym jest wprowadzenie w okresie obowiązywania st</w:t>
      </w:r>
      <w:r>
        <w:rPr>
          <w:rFonts w:ascii="Times New Roman" w:hAnsi="Times New Roman"/>
          <w:lang w:eastAsia="pl-PL"/>
        </w:rPr>
        <w:t>anu zagrożenia epidemicznego CO</w:t>
      </w:r>
      <w:r w:rsidRPr="001751D7">
        <w:rPr>
          <w:rFonts w:ascii="Times New Roman" w:hAnsi="Times New Roman"/>
          <w:lang w:eastAsia="pl-PL"/>
        </w:rPr>
        <w:t>VID-19 możliwości odstąpienia w niektórych przypadkach od obecności funkcjonariusza Służby Celno-Skarbowej.  W każdym przypadku  naczelnik urzędu celno-skarbowego będzie powiadamiał podmiot podlegający kontroli celno-skarbowej o takim odstąpieniu, które zostanie uprzednio poprzedzone analizą ryzyka. Regulacja ma na celu ułatwić wykonywanie działalności gospodarczej nieobarczonej ryzykiem w okresie obowiązywania st</w:t>
      </w:r>
      <w:r>
        <w:rPr>
          <w:rFonts w:ascii="Times New Roman" w:hAnsi="Times New Roman"/>
          <w:lang w:eastAsia="pl-PL"/>
        </w:rPr>
        <w:t>anu zagrożenia epidemicznego CO</w:t>
      </w:r>
      <w:r w:rsidRPr="001751D7">
        <w:rPr>
          <w:rFonts w:ascii="Times New Roman" w:hAnsi="Times New Roman"/>
          <w:lang w:eastAsia="pl-PL"/>
        </w:rPr>
        <w:t>VID-19 oraz zminimalizować ryzyko rozprzestrzeniania się koronawirusa.</w:t>
      </w:r>
    </w:p>
    <w:p w:rsidR="00D30E1D" w:rsidRDefault="00D30E1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programu „Rodzina na swoim”:</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30E1D">
        <w:rPr>
          <w:rFonts w:ascii="Times New Roman" w:hAnsi="Times New Roman"/>
          <w:lang w:eastAsia="pl-PL"/>
        </w:rPr>
        <w:lastRenderedPageBreak/>
        <w:t>Obowiązujące zapisy ustawy o finansowym wsparciu rodzin i innych osób w nabywaniu własnego mieszkania dopuszczają możliwość stosowania dopłat do kredytów preferencyjnych przez okres 8 lat od dnia pierwszej spłaty odsetek.</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30E1D">
        <w:rPr>
          <w:rFonts w:ascii="Times New Roman" w:hAnsi="Times New Roman"/>
          <w:lang w:eastAsia="pl-PL"/>
        </w:rPr>
        <w:t>Proponowane zmiany zakładają wydłużenie terminu stosowania dopłat o okres, w którym zostanie zawieszona spłata kredytu preferencyjnego z uwagi na istniejący stan zagrożenia epidemicznego albo stan epidemii przy jednoczesnym utrzymaniu maksymalnego 8-letniego okresu stosowania dopłat.</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30E1D">
        <w:rPr>
          <w:rFonts w:ascii="Times New Roman" w:hAnsi="Times New Roman"/>
          <w:lang w:eastAsia="pl-PL"/>
        </w:rPr>
        <w:t>Ponadto proponowane przepisy zakładają uwzględnienie odsetek skapitalizowanych w okresie zawieszenia kredytu preferencyjnego z uwagi na istniejący stan zagrożenia epidemicznego albo stan epidemii w saldzie naliczania dopłat.</w:t>
      </w:r>
    </w:p>
    <w:p w:rsidR="00D30E1D" w:rsidRDefault="00D30E1D"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zmiany planów finansowych jednostek sektora finansów:</w:t>
      </w:r>
    </w:p>
    <w:p w:rsidR="00D30E1D" w:rsidRPr="00D71950" w:rsidRDefault="00D30E1D" w:rsidP="00D30E1D">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projektowanym przepisie przewidziano</w:t>
      </w:r>
      <w:r w:rsidRPr="00D71950">
        <w:rPr>
          <w:rFonts w:ascii="Times New Roman" w:hAnsi="Times New Roman"/>
          <w:lang w:eastAsia="pl-PL"/>
        </w:rPr>
        <w:t xml:space="preserve"> pewne wyłączenia co do wymogów wynikających z</w:t>
      </w:r>
      <w:r>
        <w:rPr>
          <w:rFonts w:ascii="Times New Roman" w:hAnsi="Times New Roman"/>
          <w:lang w:eastAsia="pl-PL"/>
        </w:rPr>
        <w:t> </w:t>
      </w:r>
      <w:r w:rsidRPr="00D71950">
        <w:rPr>
          <w:rFonts w:ascii="Times New Roman" w:hAnsi="Times New Roman"/>
          <w:lang w:eastAsia="pl-PL"/>
        </w:rPr>
        <w:t xml:space="preserve">przepisów art. 21 ust. 4, 5 i 6, art. 24 ust. 5 i 6, art. 29 ust. 9, 10 i 12, art. 52 ust. 2 pkt 2 ustawy </w:t>
      </w:r>
      <w:r>
        <w:rPr>
          <w:rFonts w:ascii="Times New Roman" w:hAnsi="Times New Roman"/>
          <w:lang w:eastAsia="pl-PL"/>
        </w:rPr>
        <w:t>o </w:t>
      </w:r>
      <w:r w:rsidRPr="00D71950">
        <w:rPr>
          <w:rFonts w:ascii="Times New Roman" w:hAnsi="Times New Roman"/>
          <w:lang w:eastAsia="pl-PL"/>
        </w:rPr>
        <w:t>finansach publicznych dotyczących kwestii zmiany planów finansowych jednostek sektora finansów publicznych: instytucji gospodarki budżetowej, agencji wykonawczych, państwowych funduszy celowych. Zdecydowano, że ze względu na potrzebę zapewnienia możliwie jak największej elastyczności w zakresie gospodarowania środkami publicznymi, mając na uwadze potrzebę sprawnego realizowania zadań związanych z przeciwdziałaniem COVID-19, nie będzie konieczne:</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 xml:space="preserve">występowanie do sejmowej komisji właściwej do spraw budżetu o opinię w sprawie zmiany planu finansowego przez jednostki wskazane w projektowanych regulacjach, </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uzyskiwanie zgody Ministra Finansów na dokonywanie zmiany planu finansowego,</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osiągnięcie porozumienia z Ministrem Finansów w zakresie dokonywania zmiany planu finansowego,</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ograniczenie co do możliwości wprowadzania zmian planu finansowego, skutkujących zwiększeniem zobowiązań bądź pogorszeniem planowanego wyniku finansowego,</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ograniczenie co do możliwości wprowadzania zmian planu finansowego, która musi dotyczyć jednocześnie zwiększenia prognozowanych przychodów i odpowiednio kosztów jednostki,</w:t>
      </w:r>
    </w:p>
    <w:p w:rsidR="00D30E1D" w:rsidRPr="00D71950" w:rsidRDefault="00D30E1D" w:rsidP="00B00620">
      <w:pPr>
        <w:pStyle w:val="Akapitzlist"/>
        <w:numPr>
          <w:ilvl w:val="0"/>
          <w:numId w:val="22"/>
        </w:num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ograniczenie co do możliwości wprowadzania zmian planu finansowego, których skutkiem mogłoby być zwiększ</w:t>
      </w:r>
      <w:r>
        <w:rPr>
          <w:rFonts w:ascii="Times New Roman" w:hAnsi="Times New Roman"/>
          <w:lang w:eastAsia="pl-PL"/>
        </w:rPr>
        <w:t>enie dotacji z budżetu państwa.</w:t>
      </w:r>
    </w:p>
    <w:p w:rsidR="00D30E1D" w:rsidRPr="00D71950"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Konieczne będzie jednak informowanie Ministra Finansów o zmian</w:t>
      </w:r>
      <w:r>
        <w:rPr>
          <w:rFonts w:ascii="Times New Roman" w:hAnsi="Times New Roman"/>
          <w:lang w:eastAsia="pl-PL"/>
        </w:rPr>
        <w:t>ie planu finansowego, zgodnie z </w:t>
      </w:r>
      <w:r w:rsidRPr="00D71950">
        <w:rPr>
          <w:rFonts w:ascii="Times New Roman" w:hAnsi="Times New Roman"/>
          <w:lang w:eastAsia="pl-PL"/>
        </w:rPr>
        <w:t>ust. 3.</w:t>
      </w:r>
    </w:p>
    <w:p w:rsidR="00D30E1D" w:rsidRPr="00D71950" w:rsidRDefault="00D30E1D" w:rsidP="00D30E1D">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w:t>
      </w:r>
      <w:r w:rsidRPr="00D71950">
        <w:rPr>
          <w:rFonts w:ascii="Times New Roman" w:hAnsi="Times New Roman"/>
          <w:lang w:eastAsia="pl-PL"/>
        </w:rPr>
        <w:t xml:space="preserve"> celu ograniczenia ciążących na jednostkach obowiązków, związanych z procesem dokonywania zmian w planach finansowych, </w:t>
      </w:r>
      <w:r>
        <w:rPr>
          <w:rFonts w:ascii="Times New Roman" w:hAnsi="Times New Roman"/>
          <w:lang w:eastAsia="pl-PL"/>
        </w:rPr>
        <w:t>projektowany przepis pozwala</w:t>
      </w:r>
      <w:r w:rsidRPr="00D71950">
        <w:rPr>
          <w:rFonts w:ascii="Times New Roman" w:hAnsi="Times New Roman"/>
          <w:lang w:eastAsia="pl-PL"/>
        </w:rPr>
        <w:t xml:space="preserve"> na pewne odstępstwa, zarówno od powinności, jak i ograniczeń wynikających z przepisów ustawy o finansach publicznych (jako ustawy </w:t>
      </w:r>
      <w:r w:rsidRPr="00D71950">
        <w:rPr>
          <w:rFonts w:ascii="Times New Roman" w:hAnsi="Times New Roman"/>
          <w:lang w:eastAsia="pl-PL"/>
        </w:rPr>
        <w:lastRenderedPageBreak/>
        <w:t>systemowej), jak również z przepisów innych ustaw (szczególnych) np. u</w:t>
      </w:r>
      <w:r>
        <w:rPr>
          <w:rFonts w:ascii="Times New Roman" w:hAnsi="Times New Roman"/>
          <w:lang w:eastAsia="pl-PL"/>
        </w:rPr>
        <w:t>staw tworzących daną jednostkę.</w:t>
      </w:r>
    </w:p>
    <w:p w:rsidR="00D30E1D" w:rsidRPr="00D30E1D" w:rsidRDefault="00D30E1D" w:rsidP="00D30E1D">
      <w:pPr>
        <w:suppressAutoHyphens/>
        <w:autoSpaceDE w:val="0"/>
        <w:autoSpaceDN w:val="0"/>
        <w:adjustRightInd w:val="0"/>
        <w:spacing w:after="120" w:line="360" w:lineRule="auto"/>
        <w:jc w:val="both"/>
        <w:rPr>
          <w:rFonts w:ascii="Times New Roman" w:hAnsi="Times New Roman"/>
          <w:lang w:eastAsia="pl-PL"/>
        </w:rPr>
      </w:pPr>
      <w:r w:rsidRPr="00D71950">
        <w:rPr>
          <w:rFonts w:ascii="Times New Roman" w:hAnsi="Times New Roman"/>
          <w:lang w:eastAsia="pl-PL"/>
        </w:rPr>
        <w:t>Mając na uwadze powyższe, zaproponowano również dodanie przepisu, zgodnie z którym w celu realizacji zadań związanych z przeciwdziałaniem COVID-19 ujęte w rocznych planach finansowych jednostek sektora finansów publicznych koszty</w:t>
      </w:r>
      <w:r>
        <w:rPr>
          <w:rFonts w:ascii="Times New Roman" w:hAnsi="Times New Roman"/>
          <w:lang w:eastAsia="pl-PL"/>
        </w:rPr>
        <w:t>,</w:t>
      </w:r>
      <w:r w:rsidRPr="00D71950">
        <w:rPr>
          <w:rFonts w:ascii="Times New Roman" w:hAnsi="Times New Roman"/>
          <w:lang w:eastAsia="pl-PL"/>
        </w:rPr>
        <w:t xml:space="preserve"> mimo niespełnienia wymogów określonych w art. 52 ust. 2 pkt 2 ustawy o finansach publicznych oraz innych przepisach regulujących zwiększenie kosztów tych jednostek</w:t>
      </w:r>
      <w:r>
        <w:rPr>
          <w:rFonts w:ascii="Times New Roman" w:hAnsi="Times New Roman"/>
          <w:lang w:eastAsia="pl-PL"/>
        </w:rPr>
        <w:t>,</w:t>
      </w:r>
      <w:r w:rsidRPr="00D71950">
        <w:rPr>
          <w:rFonts w:ascii="Times New Roman" w:hAnsi="Times New Roman"/>
          <w:lang w:eastAsia="pl-PL"/>
        </w:rPr>
        <w:t xml:space="preserve"> mogą ulec zwiększeniu.</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przyznawania dotacji:</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Zgodnie z art. 133 ustawy o finansach publicznych, łączna kwota dotacji przyznanych w kolejnych latach na dofinansowanie inwestycji realizowanej przez jednostkę niezaliczaną do sektora finansów publicznych, o której mowa w art. 132 ust. 2 pkt 4 ustawy o finansach publicznych, ze środków niepochodzących z budżetu Unii Europejskiej, nie może być wyższa niż 50% planowanej wartości kosztorysowej inwestycji, chyba że odrębne ustawy stanowią inaczej. Proponowana zmiana ma na celu modyfikację wysokości możliwego dofinansowania lub finansowania inwestycji do poziomu 100% zamiast 50% planowanej wartości kosztorysowej inwestycji. Co istotne, z przepisów odrębnych może wynikać niższy poziom dofinansowania planowanej wartości kosztorysowej inwestycji aniżeli zaproponowane 100%. Przykładowo, art. 11b ust. 2 ustawy o działalności pożytku i wolontariacie przewiduje możliwość dofinansowania zadania publicznego, o którym mowa w ust. 1 tej ustawy, które ma charakter inwestycyjny. Wówczas, łączna kwota środków przyznanych w kolejnych latach na dofinansowanie inwestycji, ze środków niepochodzących z budżetu Unii Europejskiej, nie może być wyższa niż 80% planowanej wartości kosztorysowej inwestycji. Wskazując na przepisy odrębne, intencją projektodawcy jest, aby w takim przypadku możliwe było udzielenie finansowania lub dofinansowania nawet do 100% - tym samym zastosowania projektowanego ust.1 – a nie zaś limitu dofinansowania wynikającego np. z art. 11b ust. 2 ustawy o działalności pożytku i wolontariacie.</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Na podstawie art. 155 ust. 3 ustawy o finansach publicznych, rezerwa ogólna nie może być przeznaczona na zwiększenie wydatków, które zostały zmniejszone</w:t>
      </w:r>
      <w:r>
        <w:rPr>
          <w:rFonts w:ascii="Times New Roman" w:hAnsi="Times New Roman"/>
          <w:lang w:eastAsia="pl-PL"/>
        </w:rPr>
        <w:t xml:space="preserve"> w trakcie realizacji budżetu w </w:t>
      </w:r>
      <w:r w:rsidRPr="00EC324B">
        <w:rPr>
          <w:rFonts w:ascii="Times New Roman" w:hAnsi="Times New Roman"/>
          <w:lang w:eastAsia="pl-PL"/>
        </w:rPr>
        <w:t>wyniku przeniesień, dokonanych na podstawie art. 171 ustawy o finansach publicznych. Proponuje się, aby ograniczenia wynikające z niniejszej regulacji nie miały zastosowania w związku z realizacją zadań związanych z przeciwdziałaniem COVID-19.</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Zgodnie z art. 170 ust. 1 ustawy o finansach publicznych, zmiany kwot dotacji celowych na zadania zlecone jednostkom samorządu terytorialnego mogą następować w terminie do dnia 15 listopada roku budżetowego, a zmiany kwot dotacji na dofinansowanie zadań własnych jednostek samorządu terytorialnego - do dnia 30 listopada roku budżetowego.</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Projektowany przepis przewiduje możliwość, że terminy okreś</w:t>
      </w:r>
      <w:r>
        <w:rPr>
          <w:rFonts w:ascii="Times New Roman" w:hAnsi="Times New Roman"/>
          <w:lang w:eastAsia="pl-PL"/>
        </w:rPr>
        <w:t>lone w art. 170 ust. 1 ustawy o </w:t>
      </w:r>
      <w:r w:rsidRPr="00EC324B">
        <w:rPr>
          <w:rFonts w:ascii="Times New Roman" w:hAnsi="Times New Roman"/>
          <w:lang w:eastAsia="pl-PL"/>
        </w:rPr>
        <w:t xml:space="preserve">finansach publicznych nie będą obowiązywały w przypadku finansowania lub dofinansowania zadań </w:t>
      </w:r>
      <w:r w:rsidRPr="00EC324B">
        <w:rPr>
          <w:rFonts w:ascii="Times New Roman" w:hAnsi="Times New Roman"/>
          <w:lang w:eastAsia="pl-PL"/>
        </w:rPr>
        <w:lastRenderedPageBreak/>
        <w:t>realizowanych przez jednostki samorządu terytorialnego, w cel</w:t>
      </w:r>
      <w:r>
        <w:rPr>
          <w:rFonts w:ascii="Times New Roman" w:hAnsi="Times New Roman"/>
          <w:lang w:eastAsia="pl-PL"/>
        </w:rPr>
        <w:t>u realizacji zadań związanych z </w:t>
      </w:r>
      <w:r w:rsidRPr="00EC324B">
        <w:rPr>
          <w:rFonts w:ascii="Times New Roman" w:hAnsi="Times New Roman"/>
          <w:lang w:eastAsia="pl-PL"/>
        </w:rPr>
        <w:t>przeciwdziałaniem COVID-19.</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Przepis art. 171 ust. 3 ustawy o finansach publicznych przewiduje, że przeniesienie polegające na zmniejszeniu lub zwiększeniu wydatków majątkowych jednorazowo o kwotę powyżej 100 tys. zł wymaga zgody Ministra Finansów, z zastrzeżeniem ust. 4. O przeniesieniach wydatków majątkowych dokonanych poniżej tej kwoty dysponenci części budżetowych informują niezwłocznie Ministra Finansów. Zgodnie zaś z art. 171 ust. 4 ustawy o finansach publicznych, w przypadku wydatków na inwestycje budowlane, każde przeniesienie polegające na zmniejszeniu lub zwiększeniu tych wydatków wymaga zgody Ministra Finansów. Intencją projektodawcy jest wyłączenie konieczności uzyskania zgody Ministra Finansów we wskazanych w tym przepisie przypadkach.</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 xml:space="preserve">Zgodnie z art. 173 ust. 1 ustawy o finansach publicznych, środki z budżetu państwa przeznaczone na finansowanie programów wieloletnich nie mogą być, z zastrzeżeniem ust. 2, wykorzystane na inne cele. Stosownie zaś do ust. 2, niewykorzystane środki na finansowanie programów wieloletnich Rada Ministrów może przeznaczyć na finansowanie innych programów wieloletnich lub zobowiązań Skarbu Państwa. Zaproponowana zmiana polegająca na wyłączeniu zastosowania tego przepisu ma na celu możliwie jak najbardziej elastyczne wykorzystanie </w:t>
      </w:r>
      <w:r>
        <w:rPr>
          <w:rFonts w:ascii="Times New Roman" w:hAnsi="Times New Roman"/>
          <w:lang w:eastAsia="pl-PL"/>
        </w:rPr>
        <w:t>środków na działania związane z </w:t>
      </w:r>
      <w:r w:rsidRPr="00EC324B">
        <w:rPr>
          <w:rFonts w:ascii="Times New Roman" w:hAnsi="Times New Roman"/>
          <w:lang w:eastAsia="pl-PL"/>
        </w:rPr>
        <w:t>przeciwdziałaniem COVID-19. Ograniczenie spro</w:t>
      </w:r>
      <w:r>
        <w:rPr>
          <w:rFonts w:ascii="Times New Roman" w:hAnsi="Times New Roman"/>
          <w:lang w:eastAsia="pl-PL"/>
        </w:rPr>
        <w:t>wadzające się do finansowania z </w:t>
      </w:r>
      <w:r w:rsidRPr="00EC324B">
        <w:rPr>
          <w:rFonts w:ascii="Times New Roman" w:hAnsi="Times New Roman"/>
          <w:lang w:eastAsia="pl-PL"/>
        </w:rPr>
        <w:t xml:space="preserve">niewykorzystanych środków na finansowanie programów wieloletnich jedynie innych programów wieloletnich lub zobowiązań Skarbu Państwa ze środków, o których </w:t>
      </w:r>
      <w:r>
        <w:rPr>
          <w:rFonts w:ascii="Times New Roman" w:hAnsi="Times New Roman"/>
          <w:lang w:eastAsia="pl-PL"/>
        </w:rPr>
        <w:t>mowa w art. 173 ust. 1 ustawy o </w:t>
      </w:r>
      <w:r w:rsidRPr="00EC324B">
        <w:rPr>
          <w:rFonts w:ascii="Times New Roman" w:hAnsi="Times New Roman"/>
          <w:lang w:eastAsia="pl-PL"/>
        </w:rPr>
        <w:t>finansach publicznych nie znajdzie wówczas zastosowania.</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Zgodnie z art. 177 ust. 6 ustawy o finansach publicznych Minister Finansów, po uzyskaniu pozytywnej opinii sejmowej komisji właściwej do spraw budżetu, może utworzyć nową rezerwę celową i przenieść do tej rezerwy kwoty wydatków zablokowane na podstawie ust. 1 pkt 2 i 3. Stosownie do ust. 7, rezerwę, o której mowa w ust. 6, przeznacza się na sfinansowanie zobowiązań Skarbu Państwa lub na cele osobno wskazane w ustawie budżetowej. Minister Finansów informuje niezwłocznie Radę Ministrów o przyczynach podjęcia decyzji, o których mowa w ust. 3 pkt 1. Rada Ministrów może uchylić decyzję Ministra Finansów w terminie 30 dni od dnia poinformowania o podjęciu decyzji ust. 8.</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 xml:space="preserve">Projektowany przepis ma na celu zapewnienie możliwości utworzenia nowej rezerwy celowej i przeniesienia do tej rezerwy kwoty zablokowanych wydatków na podstawie art. 177 ust. 1 ustawy o finansach publicznych, przez Ministra Finansów, na polecenie Prezesa Rady Ministrów, bez konieczności uzyskania pozytywnej opinii sejmowej komisji właściwej do spraw budżetu. Ponadto, uzasadnione jest, aby istniała możliwość przeznaczenia tej rezerwy na sfinansowanie nie tylko zobowiązań Skarbu Państwa lub na cele osobno wskazane w ustawie budżetowej, lecz również na zadania związane z przeciwdziałaniem COVID-19. Utworzenie takiej rezerwy pozwoli na </w:t>
      </w:r>
      <w:r w:rsidRPr="00EC324B">
        <w:rPr>
          <w:rFonts w:ascii="Times New Roman" w:hAnsi="Times New Roman"/>
          <w:lang w:eastAsia="pl-PL"/>
        </w:rPr>
        <w:lastRenderedPageBreak/>
        <w:t>zgromadzenie w jednym miejscu środków finansowych pochodzących z wydatków zablokowanych i przeznaczenie ich na realizację zadań związanych z przeciwdziałaniem COVID-19.</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Z art. 177 ust. 8 ustawy o finansach publicznych wynika, że Minister Finansów informuje niezwłocznie Radę Ministrów o przyczynach podjęcia decyzji, o których mowa w ust. 3 pkt 1 ustawy o finansach publicznych. Rada Ministrów może uchylić decyzję Ministra Finansów w terminie 30 dni od dnia poinformowania o podjęciu decyzji. Proponowane wyłączenie ww. przepisów ma na celu wyeliminowania ograniczeń natury formalnej, tj. niezwłocznego informowania Rady Ministrów przez Ministra Finansów o przyczynach podjęcia decyzji, o których mowa w ust. 3 pkt 1 ustawy o finansach publicznych.</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Art. 179 ust. 4 ustawy o finansach publicznych reguluje kwestię decyzji o blokowaniu wydatków przez Radę Ministrów w drodze rozporządzenia, po uzyskaniu pozytywnej opinii sejmowej komisji właściwej do spraw budżetu. Analogicznie do innych przewidzianych rozwiązań zdecydowano o rezygnacji z konieczności występowania przez Radę Ministrów do sejmowej komisji właściwej do spraw budżetu w takim przypadku.</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W myśl art. 42 ust. 3 ustawy o dochodach jednostek samorządu terytorialnego dotacje z budżetu państwa na dofinansowanie zadań, o których mowa w ust. 2 pkt 2, mogą być udzielane do wysokości 50% planowanych wydatków jednostki samorządu terytorialnego na realizację danego zadania, o ile odrębne przepisy nie stanowią inaczej. Proponowana zmiana ma na celu zmianę w zakresie wysokości możliwego dofinansowania lub finansowania inwestycji do poziomu 100% zamiast obecnych 50% planowanych wydatków jednostki samorządu terytorialnego na realizację danego zadania. Ze względu na zmianę wysokości możliwego dofinansowania lub finansowania inwestycji do poziomu 100%, odpowiednie zastosowanie znajdzie art. 42 ust. 4 ustawy o dochodach jednostek samorządu terytorialnego tj. jednostka samorządu terytorialnego, która otrzymała dotację określoną w ust. 2 pkt 2, w zależności od poziomu zaangażowania środków własnych, nadal będzie obowiązana zwrócić kwotę właściwą dotacji, w wysokości ustalonej jako różnica między kwotą otrzymanej dotacji a wysokością wydatków poniesionych ze środków własnych. Analogicznie, gdy odrębne przepisy przewidują możliwość dofinansowania w wysokości niższej niż 100% planowanych wydatków jednostki samorządu terytorialnego na realizację danego zadania, stosuje się możliwość udzielenia finansowania lub dofinansowania do poziomu 100%.</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 xml:space="preserve">Zgodnie z art. 9 ust. 1 ustawy z dnia 23 grudnia 1999 r. o kształtowaniu wynagrodzeń w państwowej sferze budżetowej oraz o zmianie niektórych innych ustaw, w ustawie budżetowej ustala się: kwoty bazowe, średnioroczne wskaźniki wzrostu wynagrodzeń w państwowej sferze budżetowej, kwoty wynagrodzeń dla państwowych jednostek budżetowych, dla poszczególnych grup pracowników, o których mowa w art. 5 tej ustawy, w podziale na części i działy klasyfikacji dochodów i wydatków. </w:t>
      </w:r>
      <w:r w:rsidRPr="00EC324B">
        <w:rPr>
          <w:rFonts w:ascii="Times New Roman" w:hAnsi="Times New Roman"/>
          <w:lang w:eastAsia="pl-PL"/>
        </w:rPr>
        <w:lastRenderedPageBreak/>
        <w:t>Projektowany przepis przewiduje, że wynagrodzenia mogą być wypłacane ponad kwoty wynagrodzeń ustalone, zgodnie ze wskazanym art. 9 ust. 1.</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EC324B">
        <w:rPr>
          <w:rFonts w:ascii="Times New Roman" w:hAnsi="Times New Roman"/>
          <w:lang w:eastAsia="pl-PL"/>
        </w:rPr>
        <w:t>W projektowanym przepisie określono, że przeniesienia wydatków, o których mowa w art. 171 ust. 1 ustawy z dnia 27 sierpnia 2009 r. o finansach publicznych mogą zwiększać planowane wydatki na wynagrodzenia. W takim przypadku konieczne będzie jednak uzyskanie zgody Ministra Finansów.</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wydłużenia terminów z ustawy o finansach publicznych:</w:t>
      </w:r>
    </w:p>
    <w:p w:rsidR="00EC324B" w:rsidRPr="00EC324B" w:rsidRDefault="00EC324B" w:rsidP="00EC324B">
      <w:pPr>
        <w:pStyle w:val="Akapitzlist"/>
        <w:suppressAutoHyphens/>
        <w:autoSpaceDE w:val="0"/>
        <w:autoSpaceDN w:val="0"/>
        <w:adjustRightInd w:val="0"/>
        <w:spacing w:after="120" w:line="360" w:lineRule="auto"/>
        <w:ind w:left="0"/>
        <w:jc w:val="both"/>
        <w:rPr>
          <w:rFonts w:ascii="Times New Roman" w:hAnsi="Times New Roman"/>
          <w:lang w:eastAsia="pl-PL"/>
        </w:rPr>
      </w:pPr>
      <w:r w:rsidRPr="00EC324B">
        <w:rPr>
          <w:rFonts w:ascii="Times New Roman" w:hAnsi="Times New Roman"/>
          <w:lang w:eastAsia="pl-PL"/>
        </w:rPr>
        <w:t>Mając na uwadze cel projektowanych rozwiązań oraz związaną z jego realizacją potrzebę wyeliminowania pewnych ograniczeń wynikających z obowiązujących przepisów prawa, zaproponowano wydłużenie terminów, o których mowa w art. 152 ust. 2 ustawy o finansach publicznych. Zatwierdzenie przez dysponenta części budżetowej lub dysponenta środków, o których mowa w art. 127 ust. 2, rozliczenia dotacji w zakresie rzeczowym i finansowym, przedstawionego przez obowiązaną do tego jednostkę, powinno nastąpić w terminie 60 dni zamiast 30 dni od dnia jego przedstawienia, a w przypadku dotacji na realizację zadania za granicą –120 dni zamiast 60 dni od dnia jego przedstawienia.</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wydłużania terminów dot. rejestru podmiotów wykluczonych:</w:t>
      </w:r>
    </w:p>
    <w:p w:rsidR="00EC324B" w:rsidRP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0C6822">
        <w:rPr>
          <w:rFonts w:ascii="Times New Roman" w:hAnsi="Times New Roman"/>
          <w:lang w:eastAsia="pl-PL"/>
        </w:rPr>
        <w:t>Wydłużenie terminów na dokonanie czynności związanych z prowadzeniem rejestru podmiotów wykluczonych jest niezbędne ze względu na utrudnienia w działalności beneficjentów, w tym przedsiębiorców, a także w funkcjonowaniu instytucji działających w systemie absorpcji środków europejskich, związanych z wprowadzeniem stanu epidemii lub stanu zagrożenia epidemicznego. Jednocześnie wymóg niezwłoczności dokonania czynności zabezpiecza interesy zarówno beneficjentów w otrzymaniu informacji z rejestru, jak i systemu absorp</w:t>
      </w:r>
      <w:r>
        <w:rPr>
          <w:rFonts w:ascii="Times New Roman" w:hAnsi="Times New Roman"/>
          <w:lang w:eastAsia="pl-PL"/>
        </w:rPr>
        <w:t>cji w zapewnianiu aktualności i </w:t>
      </w:r>
      <w:r w:rsidRPr="000C6822">
        <w:rPr>
          <w:rFonts w:ascii="Times New Roman" w:hAnsi="Times New Roman"/>
          <w:lang w:eastAsia="pl-PL"/>
        </w:rPr>
        <w:t>kompletności danych rejestru, dając przy tym niezbędną elastyczność w przypadkach, gdy wykonywania pewnych zadań może okazać się utrudnione lub wręcz niemożliwe i zwłoka będzie uzasadniona. W ust. 2 zawiesza się obowiązywanie przepisów ustalających terminy – jednak tylko do czasu zakończenia stanu epidemii lub stanu zagrożenia epidemicznego.</w:t>
      </w:r>
    </w:p>
    <w:p w:rsidR="00EC324B" w:rsidRDefault="00EC324B" w:rsidP="00EC324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zakresie </w:t>
      </w:r>
      <w:r w:rsidRPr="00CD2C28">
        <w:rPr>
          <w:rFonts w:ascii="Times New Roman" w:hAnsi="Times New Roman"/>
          <w:b/>
          <w:lang w:eastAsia="pl-PL"/>
        </w:rPr>
        <w:t>informacji o rocznych kwotach części subwencji ogólnej</w:t>
      </w:r>
      <w:r>
        <w:rPr>
          <w:rFonts w:ascii="Times New Roman" w:hAnsi="Times New Roman"/>
          <w:b/>
          <w:lang w:eastAsia="pl-PL"/>
        </w:rPr>
        <w:t>:</w:t>
      </w:r>
    </w:p>
    <w:p w:rsidR="00EC324B" w:rsidRDefault="00EC324B" w:rsidP="00EC324B">
      <w:pPr>
        <w:suppressAutoHyphens/>
        <w:autoSpaceDE w:val="0"/>
        <w:autoSpaceDN w:val="0"/>
        <w:adjustRightInd w:val="0"/>
        <w:spacing w:after="120" w:line="360" w:lineRule="auto"/>
        <w:jc w:val="both"/>
        <w:rPr>
          <w:rFonts w:ascii="Times New Roman" w:hAnsi="Times New Roman"/>
          <w:lang w:eastAsia="pl-PL"/>
        </w:rPr>
      </w:pPr>
      <w:r w:rsidRPr="00CD2C28">
        <w:rPr>
          <w:rFonts w:ascii="Times New Roman" w:hAnsi="Times New Roman"/>
          <w:lang w:eastAsia="pl-PL"/>
        </w:rPr>
        <w:t>Przedmiotowa regulacja, w przypadku wystąpienia wyjątkowych okoliczności tj. stanu epidemii lub stanu zagrożenia epidemicznego, umożliwia przekazanie przez ministra właściwego do spraw finansów publicznych informacji, o której mowa w art. 33 ust. 1 pkt 2 ustawy o dochodach jednostek samorządu terytorialnego (tj. informacji o rocznych kwotach części subwencji ogólnej, wynikających z ustawy budżetowej, oraz o rocznych wpłatach, wynikających z ustawy budżetowej – w terminie 14 dni od dnia ogłoszenia ustawy budżetowej) w terminie późniejszym, niezwłocznie, po ustaniu okoliczności uniemożliwiających realizację tego obowiązku.</w:t>
      </w:r>
    </w:p>
    <w:p w:rsidR="00D55118" w:rsidRDefault="00D55118" w:rsidP="00D55118">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przeznaczenia rezerwy celowej:</w:t>
      </w:r>
    </w:p>
    <w:p w:rsidR="00D55118" w:rsidRPr="009C4447" w:rsidRDefault="00D55118" w:rsidP="00D55118">
      <w:pPr>
        <w:suppressAutoHyphens/>
        <w:autoSpaceDE w:val="0"/>
        <w:autoSpaceDN w:val="0"/>
        <w:adjustRightInd w:val="0"/>
        <w:spacing w:after="120" w:line="360" w:lineRule="auto"/>
        <w:jc w:val="both"/>
        <w:rPr>
          <w:rFonts w:ascii="Times New Roman" w:hAnsi="Times New Roman"/>
          <w:lang w:eastAsia="pl-PL"/>
        </w:rPr>
      </w:pPr>
      <w:r w:rsidRPr="009C4447">
        <w:rPr>
          <w:rFonts w:ascii="Times New Roman" w:hAnsi="Times New Roman"/>
          <w:lang w:eastAsia="pl-PL"/>
        </w:rPr>
        <w:lastRenderedPageBreak/>
        <w:t>Zgodnie z projektowanym ust. 1, w celu finansowania zadań związanych z przeciwdziałaniem COVID-19, Prezes Rady Ministrów może wydać Ministrowi Finansów wiążące polecenia zmiany przeznaczenia rezerwy celowej wraz ze wskazaniem jej pozycji i kwoty. Zmiana przez Ministra Finansów przeznaczenia rezerwy celowej nie wymaga uzyskania opinii sejmowej komisji właściwej do spraw budżetu, co oznacza że obowiązku wynikającego z art. 154 ust. 9 ustawy o finansach publicznych, w zakresie uzyskania pozytywnej opinii sejmowej komisji właściwej do spraw budżetu nie stosuje się. Zmiana przeznaczenia rezerwy celowej, o której mowa w ust. 1 może zostać doko</w:t>
      </w:r>
      <w:r>
        <w:rPr>
          <w:rFonts w:ascii="Times New Roman" w:hAnsi="Times New Roman"/>
          <w:lang w:eastAsia="pl-PL"/>
        </w:rPr>
        <w:t>nana do końca roku budżetowego.</w:t>
      </w:r>
    </w:p>
    <w:p w:rsidR="00D55118" w:rsidRPr="00EC324B" w:rsidRDefault="00D55118" w:rsidP="00EC324B">
      <w:pPr>
        <w:suppressAutoHyphens/>
        <w:autoSpaceDE w:val="0"/>
        <w:autoSpaceDN w:val="0"/>
        <w:adjustRightInd w:val="0"/>
        <w:spacing w:after="120" w:line="360" w:lineRule="auto"/>
        <w:jc w:val="both"/>
        <w:rPr>
          <w:rFonts w:ascii="Times New Roman" w:hAnsi="Times New Roman"/>
          <w:lang w:eastAsia="pl-PL"/>
        </w:rPr>
      </w:pPr>
      <w:r w:rsidRPr="009C4447">
        <w:rPr>
          <w:rFonts w:ascii="Times New Roman" w:hAnsi="Times New Roman"/>
          <w:lang w:eastAsia="pl-PL"/>
        </w:rPr>
        <w:t>Proponowane rozwiązanie ma na celu zwiększenie elastyczności w zarządzaniu rezerwami celowymi budżetu państwa i przekazanie kompetencji w tym zakresie Prezesowi Rady Ministrów. Polecenie Prezesa Rady Ministrów powinno zawierać co najmniej wskazanie co do pozycji rezerwy, której przeznaczenie miałoby zostać zmienione i kwoty środków</w:t>
      </w:r>
      <w:r>
        <w:rPr>
          <w:rFonts w:ascii="Times New Roman" w:hAnsi="Times New Roman"/>
          <w:lang w:eastAsia="pl-PL"/>
        </w:rPr>
        <w:t>,</w:t>
      </w:r>
      <w:r w:rsidRPr="009C4447">
        <w:rPr>
          <w:rFonts w:ascii="Times New Roman" w:hAnsi="Times New Roman"/>
          <w:lang w:eastAsia="pl-PL"/>
        </w:rPr>
        <w:t xml:space="preserve"> co do której nastąpi zmiana przeznaczenia.</w:t>
      </w:r>
    </w:p>
    <w:p w:rsidR="001C25BF" w:rsidRDefault="001C25BF" w:rsidP="001C25B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zadań jednostek samorządu terytorialnego:</w:t>
      </w:r>
    </w:p>
    <w:p w:rsidR="001C25BF" w:rsidRPr="00667821" w:rsidRDefault="001C25BF" w:rsidP="001C25BF">
      <w:p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W celu zapewnienia prawidłowej realizacji zadań związanych z przeciwdziałaniem COVID-19, wójt (burmistrz, prezydent miast</w:t>
      </w:r>
      <w:r>
        <w:rPr>
          <w:rFonts w:ascii="Times New Roman" w:hAnsi="Times New Roman"/>
          <w:lang w:eastAsia="pl-PL"/>
        </w:rPr>
        <w:t>a</w:t>
      </w:r>
      <w:r w:rsidRPr="00667821">
        <w:rPr>
          <w:rFonts w:ascii="Times New Roman" w:hAnsi="Times New Roman"/>
          <w:lang w:eastAsia="pl-PL"/>
        </w:rPr>
        <w:t xml:space="preserve">) zarząd powiatu lub zarząd województwa może dokonać szeregu czynności wymienionych </w:t>
      </w:r>
      <w:r>
        <w:rPr>
          <w:rFonts w:ascii="Times New Roman" w:hAnsi="Times New Roman"/>
          <w:lang w:eastAsia="pl-PL"/>
        </w:rPr>
        <w:t>w projektowanym przepisie</w:t>
      </w:r>
      <w:r w:rsidRPr="00667821">
        <w:rPr>
          <w:rFonts w:ascii="Times New Roman" w:hAnsi="Times New Roman"/>
          <w:lang w:eastAsia="pl-PL"/>
        </w:rPr>
        <w:t>, które usprawniają gospodarkę środkami publicznymi w r</w:t>
      </w:r>
      <w:r>
        <w:rPr>
          <w:rFonts w:ascii="Times New Roman" w:hAnsi="Times New Roman"/>
          <w:lang w:eastAsia="pl-PL"/>
        </w:rPr>
        <w:t>amach samorządu terytorialnego.</w:t>
      </w:r>
    </w:p>
    <w:p w:rsidR="001C25BF" w:rsidRPr="00667821" w:rsidRDefault="001C25BF" w:rsidP="001C25BF">
      <w:p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Rozwiązania te umożliwią organom wykonawczym jednostek samorządu terytorialnego:</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dokonywanie zmian w planie dochodów i wydatków budżetu jednostki sa</w:t>
      </w:r>
      <w:r>
        <w:rPr>
          <w:rFonts w:ascii="Times New Roman" w:hAnsi="Times New Roman"/>
          <w:lang w:eastAsia="pl-PL"/>
        </w:rPr>
        <w:t xml:space="preserve">morządu terytorialnego, w tym </w:t>
      </w:r>
      <w:r w:rsidRPr="00667821">
        <w:rPr>
          <w:rFonts w:ascii="Times New Roman" w:hAnsi="Times New Roman"/>
          <w:lang w:eastAsia="pl-PL"/>
        </w:rPr>
        <w:t>przeniesień wydatków między działami klasyfikacji budżetowe;</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 xml:space="preserve">przekazanie uprawnień, o których mowa w </w:t>
      </w:r>
      <w:r>
        <w:rPr>
          <w:rFonts w:ascii="Times New Roman" w:hAnsi="Times New Roman"/>
          <w:lang w:eastAsia="pl-PL"/>
        </w:rPr>
        <w:t xml:space="preserve">art. 258 ust. 1 pkt 2-4 ustawy </w:t>
      </w:r>
      <w:r w:rsidRPr="00667821">
        <w:rPr>
          <w:rFonts w:ascii="Times New Roman" w:hAnsi="Times New Roman"/>
          <w:lang w:eastAsia="pl-PL"/>
        </w:rPr>
        <w:t>o finansach publicznych, tj. m.in. w zakresie przekazywania niektórych uprawnień do dokonywania przeniesień planowanych wydatków innym jednostkom organizacyjnym samorządu;</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dokonywanie zmian w wieloletnich prognozach finansowych oraz w planie wydatków budżetu jednostki samorządu terytorialn</w:t>
      </w:r>
      <w:r>
        <w:rPr>
          <w:rFonts w:ascii="Times New Roman" w:hAnsi="Times New Roman"/>
          <w:lang w:eastAsia="pl-PL"/>
        </w:rPr>
        <w:t>ego związanych z wprowadzeniem nowych</w:t>
      </w:r>
      <w:r w:rsidRPr="00667821">
        <w:rPr>
          <w:rFonts w:ascii="Times New Roman" w:hAnsi="Times New Roman"/>
          <w:lang w:eastAsia="pl-PL"/>
        </w:rPr>
        <w:t xml:space="preserve"> inwestycji lub zakupów inwestycyjnych przez jednostkę, z zastrzeżeniem, że zmiana ta nie może pogorszyć wyniku budżetu jednostki;</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 xml:space="preserve">dokonywanie zmian przeznaczenia rezerwy celowej bez konieczności uzyskania opinii komisji właściwej do spraw budżetu organu stanowiącego tej jednostki. Wyłączono zatem konieczność uzyskania opinii komisji właściwej do spraw budżetu organu stanowiącego tej jednostki. W tej sytuacji przepis </w:t>
      </w:r>
      <w:r>
        <w:rPr>
          <w:rFonts w:ascii="Times New Roman" w:hAnsi="Times New Roman"/>
          <w:lang w:eastAsia="pl-PL"/>
        </w:rPr>
        <w:t>art. 259 ust. 3 nie będzie miał</w:t>
      </w:r>
      <w:r w:rsidRPr="00667821">
        <w:rPr>
          <w:rFonts w:ascii="Times New Roman" w:hAnsi="Times New Roman"/>
          <w:lang w:eastAsia="pl-PL"/>
        </w:rPr>
        <w:t xml:space="preserve"> zastosowania;</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 xml:space="preserve">tworzenie nowej rezerwy celowej bez uzyskania opinii komisji właściwej do spraw budżetu organu stanowiącego tej jednostki, przenosząc do niej zablokowane kwoty wydatków na </w:t>
      </w:r>
      <w:r w:rsidRPr="00667821">
        <w:rPr>
          <w:rFonts w:ascii="Times New Roman" w:hAnsi="Times New Roman"/>
          <w:lang w:eastAsia="pl-PL"/>
        </w:rPr>
        <w:lastRenderedPageBreak/>
        <w:t>podstawie art. 260 ust. 1 ustawy o finansach publicznych. Pr</w:t>
      </w:r>
      <w:r>
        <w:rPr>
          <w:rFonts w:ascii="Times New Roman" w:hAnsi="Times New Roman"/>
          <w:lang w:eastAsia="pl-PL"/>
        </w:rPr>
        <w:t>zewiduje się, że w tej sytuacji</w:t>
      </w:r>
      <w:r w:rsidRPr="00667821">
        <w:rPr>
          <w:rFonts w:ascii="Times New Roman" w:hAnsi="Times New Roman"/>
          <w:lang w:eastAsia="pl-PL"/>
        </w:rPr>
        <w:t xml:space="preserve"> przepisu art. 259 ust. 3 i art. art. 260 ust. 4 ustawy również nie będzie miał zastosowania;</w:t>
      </w:r>
    </w:p>
    <w:p w:rsidR="001C25BF" w:rsidRPr="00667821" w:rsidRDefault="001C25BF" w:rsidP="00B00620">
      <w:pPr>
        <w:pStyle w:val="Akapitzlist"/>
        <w:numPr>
          <w:ilvl w:val="0"/>
          <w:numId w:val="23"/>
        </w:num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dokonywać zmian limitu zobowiązań z tytułu zaciągniętych kredytów i pożyczek oraz emitowanych papierów wartościowych, w związku z możliwością podwyższenia limitu zobowiązań na pokrycie występującego w ciągu roku przejściowego deficytu budżetu jednostki samorządu terytorialnego.</w:t>
      </w:r>
    </w:p>
    <w:p w:rsidR="001C25BF" w:rsidRDefault="001C25BF" w:rsidP="001C25BF">
      <w:pPr>
        <w:suppressAutoHyphens/>
        <w:autoSpaceDE w:val="0"/>
        <w:autoSpaceDN w:val="0"/>
        <w:adjustRightInd w:val="0"/>
        <w:spacing w:after="120" w:line="360" w:lineRule="auto"/>
        <w:jc w:val="both"/>
        <w:rPr>
          <w:rFonts w:ascii="Times New Roman" w:hAnsi="Times New Roman"/>
          <w:lang w:eastAsia="pl-PL"/>
        </w:rPr>
      </w:pPr>
      <w:r w:rsidRPr="00667821">
        <w:rPr>
          <w:rFonts w:ascii="Times New Roman" w:hAnsi="Times New Roman"/>
          <w:lang w:eastAsia="pl-PL"/>
        </w:rPr>
        <w:t>Przewidziano termin obowiązywania ww. regulacji do dnia 31 grudnia 2020 r.</w:t>
      </w:r>
    </w:p>
    <w:p w:rsidR="001C25BF" w:rsidRDefault="001C25BF" w:rsidP="001C25B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terminów realizacji zadań jednostek samorządu terytorialnego:</w:t>
      </w:r>
    </w:p>
    <w:p w:rsidR="001C25BF" w:rsidRDefault="001C25BF" w:rsidP="001C25BF">
      <w:pPr>
        <w:suppressAutoHyphens/>
        <w:autoSpaceDE w:val="0"/>
        <w:autoSpaceDN w:val="0"/>
        <w:adjustRightInd w:val="0"/>
        <w:spacing w:after="120" w:line="360" w:lineRule="auto"/>
        <w:jc w:val="both"/>
        <w:rPr>
          <w:rFonts w:ascii="Times New Roman" w:hAnsi="Times New Roman"/>
          <w:lang w:eastAsia="pl-PL"/>
        </w:rPr>
      </w:pPr>
      <w:r w:rsidRPr="00D722FE">
        <w:rPr>
          <w:rFonts w:ascii="Times New Roman" w:hAnsi="Times New Roman"/>
          <w:lang w:eastAsia="pl-PL"/>
        </w:rPr>
        <w:t>Należy mieć na uwadze fakt, że w okresie występowania stanu zagrożenia ep</w:t>
      </w:r>
      <w:r>
        <w:rPr>
          <w:rFonts w:ascii="Times New Roman" w:hAnsi="Times New Roman"/>
          <w:lang w:eastAsia="pl-PL"/>
        </w:rPr>
        <w:t xml:space="preserve">idemicznego lub stanu epidemii </w:t>
      </w:r>
      <w:r w:rsidRPr="00D722FE">
        <w:rPr>
          <w:rFonts w:ascii="Times New Roman" w:hAnsi="Times New Roman"/>
          <w:lang w:eastAsia="pl-PL"/>
        </w:rPr>
        <w:t>występuje ryzyko istotnego naruszenia terminów i warunków realizacji zadań jednostek samorządu terytorialnego. W związku z powyższym przewidziano, że wójt (burmistrz, prezydent miast</w:t>
      </w:r>
      <w:r>
        <w:rPr>
          <w:rFonts w:ascii="Times New Roman" w:hAnsi="Times New Roman"/>
          <w:lang w:eastAsia="pl-PL"/>
        </w:rPr>
        <w:t>a</w:t>
      </w:r>
      <w:r w:rsidRPr="00D722FE">
        <w:rPr>
          <w:rFonts w:ascii="Times New Roman" w:hAnsi="Times New Roman"/>
          <w:lang w:eastAsia="pl-PL"/>
        </w:rPr>
        <w:t>) zarząd powiatu lub zarząd województwa może dokonać zmia</w:t>
      </w:r>
      <w:r>
        <w:rPr>
          <w:rFonts w:ascii="Times New Roman" w:hAnsi="Times New Roman"/>
          <w:lang w:eastAsia="pl-PL"/>
        </w:rPr>
        <w:t>n i czynności, o których mowa w projektowanym przepisie</w:t>
      </w:r>
      <w:r w:rsidRPr="00D722FE">
        <w:rPr>
          <w:rFonts w:ascii="Times New Roman" w:hAnsi="Times New Roman"/>
          <w:lang w:eastAsia="pl-PL"/>
        </w:rPr>
        <w:t>. Ponadto, zaciągnięcie lub wyemitowanie przez jednostkę samorządu terytorialnego zobowiązań, o których mowa w art. 91 ust. 2 ustawy o finansach publicznych nie będzie wymagało uzyskania opinii regionalnej izby obrachunkowej o możliwości spłaty zobowiązań, o ile zobowiązania te były przewidziane w prognozie kwoty długu i jednostka uzyskała pozytywną opinię regionalnej izby obrachunkowej. Projektowany przepis umożliwia powyższe do czasu odwołania zagrożenia epidemicznego lub stanu epidemii. Co istotne, zdecy</w:t>
      </w:r>
      <w:r>
        <w:rPr>
          <w:rFonts w:ascii="Times New Roman" w:hAnsi="Times New Roman"/>
          <w:lang w:eastAsia="pl-PL"/>
        </w:rPr>
        <w:t>dowano również o przedłużeniu w </w:t>
      </w:r>
      <w:r w:rsidRPr="00D722FE">
        <w:rPr>
          <w:rFonts w:ascii="Times New Roman" w:hAnsi="Times New Roman"/>
          <w:lang w:eastAsia="pl-PL"/>
        </w:rPr>
        <w:t>okresie wystąpienia stanu zagrożenia ep</w:t>
      </w:r>
      <w:r>
        <w:rPr>
          <w:rFonts w:ascii="Times New Roman" w:hAnsi="Times New Roman"/>
          <w:lang w:eastAsia="pl-PL"/>
        </w:rPr>
        <w:t xml:space="preserve">idemicznego lub stanu epidemii </w:t>
      </w:r>
      <w:r w:rsidRPr="00D722FE">
        <w:rPr>
          <w:rFonts w:ascii="Times New Roman" w:hAnsi="Times New Roman"/>
          <w:lang w:eastAsia="pl-PL"/>
        </w:rPr>
        <w:t>terminów przewidzianych w rozdziale 5 w działu V ustawy o finansach publicznych, odpowiednio o 30 dni. Termin liczy się od dnia odwołania wprowadzonego stanu zagrożenia epidemicznego lub stanu epidemii.</w:t>
      </w:r>
    </w:p>
    <w:p w:rsidR="00DB6B1C" w:rsidRDefault="00DB6B1C"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rozwiązania umowy o organizacji wydarzenia z powodu siły wyższej:</w:t>
      </w:r>
    </w:p>
    <w:p w:rsidR="00DB6B1C" w:rsidRPr="001C25BF" w:rsidRDefault="00DB6B1C" w:rsidP="001C25BF">
      <w:pPr>
        <w:suppressAutoHyphens/>
        <w:autoSpaceDE w:val="0"/>
        <w:autoSpaceDN w:val="0"/>
        <w:adjustRightInd w:val="0"/>
        <w:spacing w:after="120" w:line="360" w:lineRule="auto"/>
        <w:jc w:val="both"/>
        <w:rPr>
          <w:rFonts w:ascii="Times New Roman" w:hAnsi="Times New Roman"/>
          <w:lang w:eastAsia="pl-PL"/>
        </w:rPr>
      </w:pPr>
      <w:r w:rsidRPr="00B54E80">
        <w:rPr>
          <w:rFonts w:ascii="Times New Roman" w:hAnsi="Times New Roman"/>
          <w:lang w:eastAsia="pl-PL"/>
        </w:rPr>
        <w:t xml:space="preserve">Przedłużeniu ulega termin na zwrot wpłat klienta w przypadku rozwiązania umowy z powodu siły wyższej- epidemii wirusa SARS-CoV-2, która to okoliczność powoduje obowiązek zwrotu środków ze względu na niemożność zorganizowania wydarzenia. Termin ustawowy na zwrot środków wynosi 180 dni, co daje duże możliwości w zachowaniu płynności finansowej w branżach wystawienniczych, kongresowych, branży rozrywkowej, sportowej i organizacji imprez i wystaw. Jednocześnie klient może wyrazić zgodę na pobranie vouchera w zamian za odstąpienie od rezygnacji z danej umowy. Voucher będzie podstawą do realizacji w ramach wydarzeń organizowanych przez danego organizatora w ciągu roku od dnia, w którym miało się odbyć pierwotne wydarzenie. Jednocześnie wartość vouchera nie może być niższa niż wysokość dotychczasowej wpłaty klienta. Zaproponowane regulacje powinny być stosowane odpowiednio w branży hotelarskiej, ale tylko wówczas gdy odstąpienie od umowy jest rzeczywiście związane z wystąpieniem epidemii wirusa SARS-CoV-2. </w:t>
      </w:r>
      <w:r w:rsidRPr="00B54E80">
        <w:rPr>
          <w:rFonts w:ascii="Times New Roman" w:hAnsi="Times New Roman"/>
          <w:lang w:eastAsia="pl-PL"/>
        </w:rPr>
        <w:lastRenderedPageBreak/>
        <w:t>Wobec powyższego odstąpienie nie może opierać się o indywidu</w:t>
      </w:r>
      <w:r>
        <w:rPr>
          <w:rFonts w:ascii="Times New Roman" w:hAnsi="Times New Roman"/>
          <w:lang w:eastAsia="pl-PL"/>
        </w:rPr>
        <w:t>alne przeświadczenie klienta, a </w:t>
      </w:r>
      <w:r w:rsidRPr="00B54E80">
        <w:rPr>
          <w:rFonts w:ascii="Times New Roman" w:hAnsi="Times New Roman"/>
          <w:lang w:eastAsia="pl-PL"/>
        </w:rPr>
        <w:t>powinno być poparte rzeczywistym związkiem przyczynowo-skutkowym.</w:t>
      </w:r>
    </w:p>
    <w:p w:rsidR="006B7DF9" w:rsidRDefault="006B7DF9"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Wprowadzenie prawa do świadczenia postojowego:</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Przedsiębiorcy, których dotykają opóźnienia lub brak realizacji dostaw, zatory płatnicze, absencja pracowników związana ze wzrostem zachorowalności lub czynnościami mającymi na celu zagwarantowanie bezpieczeństwa obywateli, mogą w ramach obowiązujących</w:t>
      </w:r>
      <w:r>
        <w:rPr>
          <w:rFonts w:ascii="Times New Roman" w:hAnsi="Times New Roman"/>
          <w:lang w:eastAsia="pl-PL"/>
        </w:rPr>
        <w:t xml:space="preserve"> przepisów skorzystać z </w:t>
      </w:r>
      <w:r w:rsidRPr="006B7DF9">
        <w:rPr>
          <w:rFonts w:ascii="Times New Roman" w:hAnsi="Times New Roman"/>
          <w:lang w:eastAsia="pl-PL"/>
        </w:rPr>
        <w:t xml:space="preserve">odroczenia terminu płatności składek, układu ratalnego, umorzenia należności składek. Obecne rozwiązania mogą się okazać niewystarczające, w obliczu pandemii, spowodowanej COVID-19, dla ochrony firmy przed problemami, których efektem może być </w:t>
      </w:r>
      <w:r>
        <w:rPr>
          <w:rFonts w:ascii="Times New Roman" w:hAnsi="Times New Roman"/>
          <w:lang w:eastAsia="pl-PL"/>
        </w:rPr>
        <w:t>powstanie zatorów płatniczych i </w:t>
      </w:r>
      <w:r w:rsidRPr="006B7DF9">
        <w:rPr>
          <w:rFonts w:ascii="Times New Roman" w:hAnsi="Times New Roman"/>
          <w:lang w:eastAsia="pl-PL"/>
        </w:rPr>
        <w:t>upadłość, jak również brak środków finansowych na zaspokojenie podstawowych potrzeb życiowych.</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Do najbardziej zagrożonych grup należą osoby prowadzące działalność gospodarczą, opłacające składki same za siebie oraz osoby wykonujące pracę na podstawie umowy agencyjnej, umowy zlecenia, innej umowy o świadczenie usług, do których zgodnie z Kodeksem cywilnym stosuje się przepisy dotyczące umowy zlecenia a także osoby wykonujące pracę na podstawie umowy o dzieło. Osoby te są narażone na niestabilność,a nawet całkowitą utratę przychodów z powodu pandemii COVID-19, ze względu na brak zleceń lub zamówień, czy rezygnację z realizowanych lub zawieranych umów.</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 xml:space="preserve">Stąd też proponuje się jednorazową wypłatę dla osób prowadzących jednoosobową działalność gospodarczą oraz osób wykonujących pracę na podstawie umów cywilnoprawnych, tzw. świadczenie postojowe. Świadczenie to przysługiwać będzie w wysokości 80% minimalnego wynagrodzenia obowiązującego w 2020 r. (2080 zł). Świadczenie nie </w:t>
      </w:r>
      <w:r>
        <w:rPr>
          <w:rFonts w:ascii="Times New Roman" w:hAnsi="Times New Roman"/>
          <w:lang w:eastAsia="pl-PL"/>
        </w:rPr>
        <w:t>będzie podlegać oskładkowaniu i </w:t>
      </w:r>
      <w:r w:rsidRPr="006B7DF9">
        <w:rPr>
          <w:rFonts w:ascii="Times New Roman" w:hAnsi="Times New Roman"/>
          <w:lang w:eastAsia="pl-PL"/>
        </w:rPr>
        <w:t>opodatkowaniu ze względu na jego socjalny charakter. Świadczenie będzie skierowane do ww. osób, jeśli nie posiadają one innego tytułu do ubezpieczeń społecznych.</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W przypadku braku poprawy sytuacji finansowej, zarówno osoby prowadzące działalność gospodarczą jak i osoby pracujące na umowach cywilno-prawnych będą mogły ubiegać się o wypłatę drugiego świadczenia postojowego. Wówczas pomoc skierowa</w:t>
      </w:r>
      <w:r>
        <w:rPr>
          <w:rFonts w:ascii="Times New Roman" w:hAnsi="Times New Roman"/>
          <w:lang w:eastAsia="pl-PL"/>
        </w:rPr>
        <w:t>na do wymienionych wyżej osób w </w:t>
      </w:r>
      <w:r w:rsidRPr="006B7DF9">
        <w:rPr>
          <w:rFonts w:ascii="Times New Roman" w:hAnsi="Times New Roman"/>
          <w:lang w:eastAsia="pl-PL"/>
        </w:rPr>
        <w:t>postaci świadczenia postojowego wyniesie łączni</w:t>
      </w:r>
      <w:r>
        <w:rPr>
          <w:rFonts w:ascii="Times New Roman" w:hAnsi="Times New Roman"/>
          <w:lang w:eastAsia="pl-PL"/>
        </w:rPr>
        <w:t>e 4160 zł.</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Prawo do świadczenia będzie </w:t>
      </w:r>
      <w:r w:rsidRPr="006B7DF9">
        <w:rPr>
          <w:rFonts w:ascii="Times New Roman" w:hAnsi="Times New Roman"/>
          <w:lang w:eastAsia="pl-PL"/>
        </w:rPr>
        <w:t xml:space="preserve">przysługiwać z tytułu przestoju ekonomicznego (w następstwie wystąpienia zagrożenia epidemicznego), które trwało co najmniej 30 dni przed miesiącem, w którym składany jest wniosek o świadczenie, pod warunkiem, że przychód w miesiącu poprzedzającym złożenie wniosku o przyznanie świadczenia był niższy od 300% prognozowanego przeciętnego miesięcznego wynagrodzenia brutto w gospodarce narodowej w 2020 r. (5 227 zł. x 300% = 15 681 zł.). Świadczenie będzie przysługiwać, jeśli osoby te rozpoczęły prowadzenie działalności przed 1 marca 2020 r. i nie zawiesiły działalności gospodarczej a ich przychód z prowadzenia tej działalności </w:t>
      </w:r>
      <w:r w:rsidRPr="006B7DF9">
        <w:rPr>
          <w:rFonts w:ascii="Times New Roman" w:hAnsi="Times New Roman"/>
          <w:lang w:eastAsia="pl-PL"/>
        </w:rPr>
        <w:lastRenderedPageBreak/>
        <w:t>w stosunku do poprzedniego miesiąca kalendarzowego uległ obniżeniu o co najmniej 15%. Prowadzący działalność gospodarczą, dla których mają zastosowanie przepisy dotyczące zryczałtowanego podatku dochodowego w formie karty podatkowej i którzy korzystali ze zwolnienia sprzedaży od podatku od towarów i usług na podstawie art. 113 ust. 1 i 9 ustawy z dnia 11 marca 2004 r. o podatku od towarów i usług (Dz.U. z 2020 r. poz. 106) będą mieli prawo do świadczenia postojowego w wysokości 50% najniższego wynagrodzenia obowiązującego w 2020 r., ze względu na brak możliwości w</w:t>
      </w:r>
      <w:r>
        <w:rPr>
          <w:rFonts w:ascii="Times New Roman" w:hAnsi="Times New Roman"/>
          <w:lang w:eastAsia="pl-PL"/>
        </w:rPr>
        <w:t>eryfikacji osiąganego przychodu</w:t>
      </w:r>
      <w:r w:rsidRPr="006B7DF9">
        <w:rPr>
          <w:rFonts w:ascii="Times New Roman" w:hAnsi="Times New Roman"/>
          <w:lang w:eastAsia="pl-PL"/>
        </w:rPr>
        <w:t>.</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Świadczenie przysługiwać będzie także osobom, które zawiesiły prowadzenie działalności gospodarczej po 1 marca 2020 r.</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Osoby wykonujące pracę na podstawie umów cywilnoprawnych, tj. umów zlecenia i umowy o dzieło będą miały prawo do świadczenia postojowego, jeśli umowa cywilnoprawna została zawarta prz</w:t>
      </w:r>
      <w:r>
        <w:rPr>
          <w:rFonts w:ascii="Times New Roman" w:hAnsi="Times New Roman"/>
          <w:lang w:eastAsia="pl-PL"/>
        </w:rPr>
        <w:t>ed 1 lutego 2020 r. Świadczenie</w:t>
      </w:r>
      <w:r w:rsidRPr="006B7DF9">
        <w:rPr>
          <w:rFonts w:ascii="Times New Roman" w:hAnsi="Times New Roman"/>
          <w:lang w:eastAsia="pl-PL"/>
        </w:rPr>
        <w:t xml:space="preserve"> będzie przysługiwać, jeżeli wynagrodzenie z tytułu wykonywania umowy cywilnoprawnej wynosi co najmniej 50% najniższego wynagrodzenia obowiązującego w 2020 r. albo jeżeli zleceniodawca nie uzyskał pomocy na wypłatę wynagrodzeń </w:t>
      </w:r>
      <w:r>
        <w:rPr>
          <w:rFonts w:ascii="Times New Roman" w:hAnsi="Times New Roman"/>
          <w:lang w:eastAsia="pl-PL"/>
        </w:rPr>
        <w:t>w ramach rozwiązań związanych z </w:t>
      </w:r>
      <w:r w:rsidRPr="006B7DF9">
        <w:rPr>
          <w:rFonts w:ascii="Times New Roman" w:hAnsi="Times New Roman"/>
          <w:lang w:eastAsia="pl-PL"/>
        </w:rPr>
        <w:t>przeciwdziałaniem skutkom gospodarczym wywołanych C</w:t>
      </w:r>
      <w:r>
        <w:rPr>
          <w:rFonts w:ascii="Times New Roman" w:hAnsi="Times New Roman"/>
          <w:lang w:eastAsia="pl-PL"/>
        </w:rPr>
        <w:t>O</w:t>
      </w:r>
      <w:r w:rsidRPr="006B7DF9">
        <w:rPr>
          <w:rFonts w:ascii="Times New Roman" w:hAnsi="Times New Roman"/>
          <w:lang w:eastAsia="pl-PL"/>
        </w:rPr>
        <w:t>VID-19. Wysokość świadczenia nie będzie uzależniona od wysokości wynagrodzenia przewidzianego w umowie cywilnoprawnej jak również faktycznej wypłaty wynagrodzenia za ograniczone wykonanie umowy. W każdym przypadku wynosić będzie</w:t>
      </w:r>
      <w:r>
        <w:rPr>
          <w:rFonts w:ascii="Times New Roman" w:hAnsi="Times New Roman"/>
          <w:lang w:eastAsia="pl-PL"/>
        </w:rPr>
        <w:t xml:space="preserve"> 80% minimalnego wynagrodzenia.</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Świadczenie będzie wypłacane przez Zakład Ubezpieczeń Społecznych (ZUS) na podstawie wniosku zainteresowanego. W przypadku braku zmiany sytuacji finansowej zainteresowanego, na podstawie jego wniosku, Prezes ZUS może przyznać drugie świadczenie postojowe.</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W celu możliwości weryfikacji przychodu osiąganego przez osobę prowadzącą działalność gospodarczą proponuje się wprowadzić:</w:t>
      </w:r>
    </w:p>
    <w:p w:rsidR="006B7DF9" w:rsidRPr="006B7DF9" w:rsidRDefault="006B7DF9" w:rsidP="00B00620">
      <w:pPr>
        <w:pStyle w:val="Akapitzlist"/>
        <w:numPr>
          <w:ilvl w:val="0"/>
          <w:numId w:val="26"/>
        </w:num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obowiązek przekazania przez ZUS do Krajowej Administrac</w:t>
      </w:r>
      <w:r>
        <w:rPr>
          <w:rFonts w:ascii="Times New Roman" w:hAnsi="Times New Roman"/>
          <w:lang w:eastAsia="pl-PL"/>
        </w:rPr>
        <w:t>ji Skarbowej (KAS) informacji o </w:t>
      </w:r>
      <w:r w:rsidRPr="006B7DF9">
        <w:rPr>
          <w:rFonts w:ascii="Times New Roman" w:hAnsi="Times New Roman"/>
          <w:lang w:eastAsia="pl-PL"/>
        </w:rPr>
        <w:t>zadeklarowanych - we wniosku o przyznanie świadczenia postojowego przez przedsiębiorców - wysokościach osiąganych przychodów w danym okresie. Rozwiązanie to powinno zapewnić spójność danych w systemach podatkowych i ubezpieczeń społecznych, jak również uszczelnienie systemu podatkowego;</w:t>
      </w:r>
    </w:p>
    <w:p w:rsidR="006B7DF9" w:rsidRPr="006B7DF9" w:rsidRDefault="006B7DF9" w:rsidP="00B00620">
      <w:pPr>
        <w:pStyle w:val="Akapitzlist"/>
        <w:numPr>
          <w:ilvl w:val="0"/>
          <w:numId w:val="26"/>
        </w:num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uprawnienie dla KAS weryfikowania i powiadamiania ZU</w:t>
      </w:r>
      <w:r>
        <w:rPr>
          <w:rFonts w:ascii="Times New Roman" w:hAnsi="Times New Roman"/>
          <w:lang w:eastAsia="pl-PL"/>
        </w:rPr>
        <w:t>S o wszelkich rozbieżnościach w </w:t>
      </w:r>
      <w:r w:rsidRPr="006B7DF9">
        <w:rPr>
          <w:rFonts w:ascii="Times New Roman" w:hAnsi="Times New Roman"/>
          <w:lang w:eastAsia="pl-PL"/>
        </w:rPr>
        <w:t>zadeklarowanych przychodach, które będą podstawą d</w:t>
      </w:r>
      <w:r>
        <w:rPr>
          <w:rFonts w:ascii="Times New Roman" w:hAnsi="Times New Roman"/>
          <w:lang w:eastAsia="pl-PL"/>
        </w:rPr>
        <w:t>la ZUS wszczęcia postępowania o </w:t>
      </w:r>
      <w:r w:rsidRPr="006B7DF9">
        <w:rPr>
          <w:rFonts w:ascii="Times New Roman" w:hAnsi="Times New Roman"/>
          <w:lang w:eastAsia="pl-PL"/>
        </w:rPr>
        <w:t>potwierdzenie prawidłowości przyznania prawa do świadczenia.</w:t>
      </w:r>
    </w:p>
    <w:p w:rsidR="006B7DF9" w:rsidRPr="006B7DF9" w:rsidRDefault="006B7DF9" w:rsidP="006B7DF9">
      <w:pPr>
        <w:suppressAutoHyphens/>
        <w:autoSpaceDE w:val="0"/>
        <w:autoSpaceDN w:val="0"/>
        <w:adjustRightInd w:val="0"/>
        <w:spacing w:after="120" w:line="360" w:lineRule="auto"/>
        <w:jc w:val="both"/>
        <w:rPr>
          <w:rFonts w:ascii="Times New Roman" w:hAnsi="Times New Roman"/>
          <w:lang w:eastAsia="pl-PL"/>
        </w:rPr>
      </w:pPr>
      <w:r w:rsidRPr="006B7DF9">
        <w:rPr>
          <w:rFonts w:ascii="Times New Roman" w:hAnsi="Times New Roman"/>
          <w:lang w:eastAsia="pl-PL"/>
        </w:rPr>
        <w:t xml:space="preserve">ZUS będzie mógł skorzystać z posiadanego uprawnienia badania prawidłowości zawartych umów cywilnoprawnych, a w konsekwencji odmowy wypłaty świadczenia jeżeli umowa nie została </w:t>
      </w:r>
      <w:r w:rsidRPr="006B7DF9">
        <w:rPr>
          <w:rFonts w:ascii="Times New Roman" w:hAnsi="Times New Roman"/>
          <w:lang w:eastAsia="pl-PL"/>
        </w:rPr>
        <w:lastRenderedPageBreak/>
        <w:t>zgłoszona do ubezpieczeń społecznych pomimo istnienia t</w:t>
      </w:r>
      <w:r>
        <w:rPr>
          <w:rFonts w:ascii="Times New Roman" w:hAnsi="Times New Roman"/>
          <w:lang w:eastAsia="pl-PL"/>
        </w:rPr>
        <w:t>akiego obowiązku wynikającego z </w:t>
      </w:r>
      <w:r w:rsidRPr="006B7DF9">
        <w:rPr>
          <w:rFonts w:ascii="Times New Roman" w:hAnsi="Times New Roman"/>
          <w:lang w:eastAsia="pl-PL"/>
        </w:rPr>
        <w:t>charakteru tej umowy.</w:t>
      </w:r>
    </w:p>
    <w:p w:rsidR="003A5F20" w:rsidRDefault="003A5F20"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Wsparcie postojowe dla przedsiębiorców: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Ogłoszony na terytorium Polski stan epidemiczny wpływa w sposób istotny na nasze życie, w tym na sytuację ekonomiczną firm. W celu złagodzenia negatywnych skutków jakie stan ten wywołuje przede wszystkim działalności przedsiębiorców, planowane jest ich wsparcie poprzez:</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 dofinansowanie części kosztów wynagrodzeń pracowników danego przedsiębiorcy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oraz należnych od nich składek na ubezpieczenia społeczne – w przypadku mikro-, małych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i średnich przedsiębiorców zatrudniających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dofinansowanie części kosztów prowadzenia działalności – w przypadku przedsiębiorcy będącego osobą fizyczną niezatrudniającego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Dofinansowanie to będzie mogło zostać przyznane w przypadku spadku obrotów gospodarczych przedsiębiorcy w następstwie wystąpienia COVID-19. Przez spadek obrotów gospodarczych rozumie się zmniejszenie sprzedaży towarów lub usług, w ujęciu ilościowym lub wartościowym obliczone jako stosunek łącznych obrotów w ciągu dowolnie wskazanych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2 kolejnych miesięcy kalendarzowych, przypadających w okresie po dniu 1 stycznia 2020 r.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w trakcie miesiąca kalendarzowego, to jest w dniu innym niż pierwszy dzień danego miesiąca kalendarzowego.</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W przypadku przedsiębiorców zatrudniających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1) będzie obejmowało część kosztów wynagrodzeń pracowników oraz należnych od nich składek na ubezpieczenia społeczne (należnych zarówno od pracowników, jak i przedsiębiorcy będącego pracodawcą) – przedsiębiorca będzie mógł wystąpić o dofinansowanie wynagrodzeń wszystkich pracowników, jak też tylko części z nich;</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2) będzie mogło zostać przyznane, gdy spadek obrotów wyniesie: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a) co najmniej 30% – w wysokości nieprzekraczającej kwoty ustalonej jako iloczyn liczby pracowników objętych wnioskiem o dofinansowanie i 50% kwoty minimalnego wynagrodzenia za pracę,</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lastRenderedPageBreak/>
        <w:t>b) co najmniej 50% – w wysokości nieprzekraczającej kwoty ustalonej jako iloczyn liczby pracowników objętych wnioskiem o dofinansowanie i 70% kwoty minimalnego wynagrodzenia za pracę,</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c) co najmniej 80% – w wysokości nieprzekraczającej kwoty ustalonej jako iloczyn liczby pracowników objętych wnioskiem o dofinansowanie i 90% kwoty minimalnego wynagrodzenia za pracę;</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3) może być przyznane na okres nie dłuższy niż:</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a) 6 miesięcy – w przypadku mikroprzedsiębiorców i małych przedsiębiorców,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b) 3 miesięcy – w przypadku średnich przedsiębiorców.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 będzie wypłacane w okresach miesięcznych, po złożeniu przez przedsiębiorcę oświadczenia o zatrudnianiu w danym miesiącu pracowników objętych umową, według stanu na ostatni dzień miesiąca, za który dofinansowanie będzie wypłacane.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Wysokość dofinansowania nie może przekroczyć faktycznie poniesionych kosztów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na wynagrodzenia pracowników i składek na ubezpieczenia społeczne od tych wynagrodzeń.</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Wnioski o dofinansowanie przedsiębiorca będzie składał do powiatowego urzędu pracy właściwego ze względu na swoją siedzibę lub miejsce wykonywania pracy przez pracowników w terminie 14 dni od dnia ogłoszenia naboru przez dyrektora powiatowego urzędu pracy.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We wniosku o przyznanie dofinansowania przedsiębiorca będzie musiał oświadczyć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o spełnianiu określonych warunków, m.in. w zakresie wielkości spadku obrotów, liczbie pracowników czy też o wielkości pomocy de minimis, składane pod rygorem odpowiedzialności karnej za składanie fałszywych oświadczeń.</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Jednocześnie wprowadzone zostało zastrzeżenie, że przedsiębiorca nie może otrzymać dofinansowania w części, w której te same koszty zostały albo zostaną sfinansowane z innych środków publicznych.</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 wykorzystane przez przedsiębiorcę niezgodnie z przeznaczeniem będzie podlegało zwrotowi w terminie 30 dni od dnia doręczenia wezwania starosty. Nie jest przewidziane naliczanie odsetek od kwoty należnej do zwrotu.</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Pomoc udzielana przedsiębiorcy będzie udzielana zgodnie z warunkami dop</w:t>
      </w:r>
      <w:r>
        <w:rPr>
          <w:rFonts w:ascii="Times New Roman" w:hAnsi="Times New Roman"/>
          <w:lang w:eastAsia="pl-PL"/>
        </w:rPr>
        <w:t>uszczalności pomocy de minimis.</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W przypadku przedsiębiorcy będącego osobą fizyczną niezatrudniającego pracowników:</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Dofinansowanie będzie: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1) obejmowało część kosztów prowadzenia przez niego działalności;</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lastRenderedPageBreak/>
        <w:t>2) mogło zostać przyznane, gdy spadek obrotów wyniesie: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a) co najmniej 30% – w wysokości 50% kwoty minimalnego wynagrodzenia za pracę miesięcznie,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b) co najmniej 50% – w wysokości 70% kwoty minimalnego wynagrodzenia za pracę miesięcznie,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c) co najmniej 80% – w wysokości 90% kwoty minimalnego wynagrodzenia za pracę miesięcznie</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3) przyznawane na okres nie dłuższy niż 6 miesięcy;</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4) wypłacane jednorazowo.</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Przedsiębiorca będzie obowiązany do prowadzenia działalności gospodarczej przez okres, na który przyznane zostało dofinansowanie, zaś w przypadku niewywiązania się z tego warunku będzie obowiązany do zwrotu otrzymanego dofinansowania w kwocie proporcjonalnej do okresu nieprowadzenia działalności gospodarczej w terminie 30 dni od dnia doręczenia wezwania starosty. Nie jest przewidziane naliczanie odsetek od kwoty należnej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do zwrotu.</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Wniosek o dofinansowanie przedsiębiorca będzie składał do powiatowego urzędu pracy właściwego ze względu na miejsce prowadzenia działalności gospodarczej w terminie 14 dni od dnia ogłoszenia naboru przez dyrektora powiatowego urzędu pracy.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We wniosku o przyznanie dofinansowania przedsiębiorca będzie musiał oświadczyć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 xml:space="preserve">o spełnianiu określonych warunków, m.in. w zakresie wielkości spadku obrotów, czy też </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o wielkości pomocy de minimis, składane pod rygorem odpowiedzialności karnej za składanie fałszywych oświadczeń.</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Jednocześnie wprowadzone zostało zastrzeżenie, że przedsiębiorca nie może otrzymać dofinansowania w części, w której te same koszty prowadzenia działalności gospodarczej zostały albo zostaną sfinansowan</w:t>
      </w:r>
      <w:r>
        <w:rPr>
          <w:rFonts w:ascii="Times New Roman" w:hAnsi="Times New Roman"/>
          <w:lang w:eastAsia="pl-PL"/>
        </w:rPr>
        <w:t>e z innych środków publicznych.</w:t>
      </w:r>
    </w:p>
    <w:p w:rsidR="003A5F20" w:rsidRPr="003A5F20" w:rsidRDefault="003A5F20" w:rsidP="003A5F20">
      <w:pPr>
        <w:suppressAutoHyphens/>
        <w:autoSpaceDE w:val="0"/>
        <w:autoSpaceDN w:val="0"/>
        <w:adjustRightInd w:val="0"/>
        <w:spacing w:after="120" w:line="360" w:lineRule="auto"/>
        <w:jc w:val="both"/>
        <w:rPr>
          <w:rFonts w:ascii="Times New Roman" w:hAnsi="Times New Roman"/>
          <w:lang w:eastAsia="pl-PL"/>
        </w:rPr>
      </w:pPr>
      <w:r w:rsidRPr="003A5F20">
        <w:rPr>
          <w:rFonts w:ascii="Times New Roman" w:hAnsi="Times New Roman"/>
          <w:lang w:eastAsia="pl-PL"/>
        </w:rPr>
        <w:t>Pomoc udzielana przedsiębiorcy będzie udzielana zgodnie z warunkami dopuszczalności pomocy de minimis.</w:t>
      </w:r>
    </w:p>
    <w:p w:rsidR="003A5F20" w:rsidRDefault="00586A60" w:rsidP="00DB6B1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Pożyczki dla mikroprzedsiębiorców:</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Ogłoszony na terytorium Polski stan epidemiczny wpływa w sposób istotny na nasze życie, w tym na sytuację ekonomiczną firm. W celu złagodzenia negatywnych skutków jakie stan ten wywołuje dla mikroprzedsiębiorców, planowane jest ich wsparcie poprzez umożliwienie ubiegania się o udzielanie niskooprocentowanej pożyczki. Pożyczka ta ma umożliwić mikroprzedsiębiorcom, którzy prowadzili działalność gospodarczą przed dniem 1 marca 2020 r., pokrycie bieżących kosztów prowadzenia tej działalności.</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lastRenderedPageBreak/>
        <w:t>Pożyczka będzie udzielana ze środków Funduszu Pracy do wysokości 5 tys. zł na okres nie dłuższy niż 12 miesięcy, zaś jej oprocentowanie będzie stałe i będzie wynosiło w skali roku 0,05 stopy redyskonta weksli przyjmowanych przez Narodowy Bank Polski.</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Rozpoczęcie spłaty pożyczki będzie następowało po sześc</w:t>
      </w:r>
      <w:r>
        <w:rPr>
          <w:rFonts w:ascii="Times New Roman" w:hAnsi="Times New Roman"/>
          <w:lang w:eastAsia="pl-PL"/>
        </w:rPr>
        <w:t>iomiesięcznym okresie karencji.</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Pożyczka wraz z odsetkami będzie podlegała umorzeniu pod warunkiem, że mikroprzedsiębiorca przez okres 6 miesięcy od dnia jej udzielenia nie zmniejszy stanu zatrudnienia w przeliczeniu na pełny wymiar czasu pracy w stosunku do stanu zatrudnienia na dzień 29  lutego 2020 r. Umorzenie będzie stanowiło pomoc udzielaną zgodnie z warunkami dopuszczalności pomocy de minimis.</w:t>
      </w:r>
    </w:p>
    <w:p w:rsidR="00586A60" w:rsidRPr="00586A60" w:rsidRDefault="00586A60" w:rsidP="00586A60">
      <w:pPr>
        <w:suppressAutoHyphens/>
        <w:autoSpaceDE w:val="0"/>
        <w:autoSpaceDN w:val="0"/>
        <w:adjustRightInd w:val="0"/>
        <w:spacing w:after="120" w:line="360" w:lineRule="auto"/>
        <w:jc w:val="both"/>
        <w:rPr>
          <w:rFonts w:ascii="Times New Roman" w:hAnsi="Times New Roman"/>
          <w:lang w:eastAsia="pl-PL"/>
        </w:rPr>
      </w:pPr>
      <w:r w:rsidRPr="00586A60">
        <w:rPr>
          <w:rFonts w:ascii="Times New Roman" w:hAnsi="Times New Roman"/>
          <w:lang w:eastAsia="pl-PL"/>
        </w:rPr>
        <w:t>Formą zabezpieczenia spłaty udzielonej pożyczki, będzie weksel własny in blanco lub inna forma zabezpieczenia ustalona przez strony umowy.</w:t>
      </w:r>
    </w:p>
    <w:p w:rsidR="00B011F6" w:rsidRDefault="00B011F6" w:rsidP="00702F6A">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Zawieszenie postępowań podatkowych:</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W związku z zagrożeniem epidemiologicznym wywołanym COVID-19 oraz ochroną obywateli może nastąpić brak możliwości kontynuowania postępowań, w szczególności podatkowych i kontroli oraz realizacji obowiązków bądź uprawnień stron postępowania i kontrolowanych. Z tego względu istnieje potrzeba zawieszenia toczących się postępowań i kontroli, w tym podatkowych, prowadzonych na podstawie Ordynacji podatkowej, kontroli celno-skarbowych or</w:t>
      </w:r>
      <w:r>
        <w:rPr>
          <w:rFonts w:ascii="Times New Roman" w:hAnsi="Times New Roman"/>
          <w:lang w:eastAsia="pl-PL"/>
        </w:rPr>
        <w:t>az niektórych innych postępowań.</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Postanowienie w sprawie zawieszenia postępowań i kontroli, o których mowa w ust. 1, będzie wywoływać skutki prawne już od chwili jego wydania. Organ wydający postanowienie o zawieszeniu procedury będzie miał obowiązek doręczenia tego postanowienia niezwłocznie. Jeśli nie będzie to możliwe postanowienie o zawieszeniu zostanie doręczone najpóźniej w terminie doręczenia postanowienia o podjęciu zawieszo</w:t>
      </w:r>
      <w:r>
        <w:rPr>
          <w:rFonts w:ascii="Times New Roman" w:hAnsi="Times New Roman"/>
          <w:lang w:eastAsia="pl-PL"/>
        </w:rPr>
        <w:t>nego postępowania albo kontroli.</w:t>
      </w:r>
      <w:r w:rsidRPr="004F052F">
        <w:rPr>
          <w:rFonts w:ascii="Times New Roman" w:hAnsi="Times New Roman"/>
          <w:lang w:eastAsia="pl-PL"/>
        </w:rPr>
        <w:t xml:space="preserve"> </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 xml:space="preserve">Z uwagi na rozwijającą się sytuację związaną z zagrożeniem epidemicznym zasadne jest wprowadzenie upoważnienia fakultatywnego do wydania przez ministra właściwego do spraw finansów publicznych rozporządzenia, które z mocy prawa zawiesi postępowania i kontrole, o którym mowa w ust. 1. W rozporządzeniu minister właściwy do spraw finansów publicznych określi zakres terytorialny zawieszenia, rodzaje postępowań i kontroli podlegających zawieszeniu oraz okres, na który następuje zawieszenie, mając na względzie okres obowiązywania stanu zagrożenia epidemicznego lub stanu epidemii oraz skutki nimi wywołane. Rozporządzenie może dotyczyć zawieszenia postępowań i kontroli prowadzonych zarówno przez organy Krajowej Administracji Skarbowej np. naczelników urzędów skarbowych, naczelników urzędów celno-skarbowych i dyrektorów izb administracji skarbowej, jak i samorządowych organów podatkowych np. </w:t>
      </w:r>
      <w:r>
        <w:rPr>
          <w:rFonts w:ascii="Times New Roman" w:hAnsi="Times New Roman"/>
          <w:lang w:eastAsia="pl-PL"/>
        </w:rPr>
        <w:t>burmistrzów i prezydentów miast.</w:t>
      </w:r>
    </w:p>
    <w:p w:rsidR="004F052F"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t xml:space="preserve">Do terminów postępowań i kontroli zawieszonych na podstawie ust. 1 lub 3, nie będzie się </w:t>
      </w:r>
      <w:r>
        <w:rPr>
          <w:rFonts w:ascii="Times New Roman" w:hAnsi="Times New Roman"/>
          <w:lang w:eastAsia="pl-PL"/>
        </w:rPr>
        <w:t>wliczać okresów ich zawieszenia.</w:t>
      </w:r>
    </w:p>
    <w:p w:rsidR="00B011F6" w:rsidRPr="004F052F" w:rsidRDefault="004F052F" w:rsidP="004F052F">
      <w:pPr>
        <w:suppressAutoHyphens/>
        <w:autoSpaceDE w:val="0"/>
        <w:autoSpaceDN w:val="0"/>
        <w:adjustRightInd w:val="0"/>
        <w:spacing w:after="120" w:line="360" w:lineRule="auto"/>
        <w:jc w:val="both"/>
        <w:rPr>
          <w:rFonts w:ascii="Times New Roman" w:hAnsi="Times New Roman"/>
          <w:lang w:eastAsia="pl-PL"/>
        </w:rPr>
      </w:pPr>
      <w:r w:rsidRPr="004F052F">
        <w:rPr>
          <w:rFonts w:ascii="Times New Roman" w:hAnsi="Times New Roman"/>
          <w:lang w:eastAsia="pl-PL"/>
        </w:rPr>
        <w:lastRenderedPageBreak/>
        <w:t>W sprawach zawieszenia postępowań i kontroli, o których mowa w art. 4 projektu ustawy będą mieć odpowiednie zastosowanie przepisy działu IV rozdziału 12 ustawy</w:t>
      </w:r>
      <w:r>
        <w:rPr>
          <w:rFonts w:ascii="Times New Roman" w:hAnsi="Times New Roman"/>
          <w:lang w:eastAsia="pl-PL"/>
        </w:rPr>
        <w:t>– Ordynacja podatkowa, z </w:t>
      </w:r>
      <w:r w:rsidRPr="004F052F">
        <w:rPr>
          <w:rFonts w:ascii="Times New Roman" w:hAnsi="Times New Roman"/>
          <w:lang w:eastAsia="pl-PL"/>
        </w:rPr>
        <w:t>wyłączeniem art. 201 § 3 oraz art. 205 § 2</w:t>
      </w:r>
      <w:r>
        <w:rPr>
          <w:rFonts w:ascii="Times New Roman" w:hAnsi="Times New Roman"/>
          <w:lang w:eastAsia="pl-PL"/>
        </w:rPr>
        <w:t>.</w:t>
      </w:r>
      <w:r w:rsidRPr="004F052F">
        <w:rPr>
          <w:rFonts w:ascii="Times New Roman" w:hAnsi="Times New Roman"/>
          <w:lang w:eastAsia="pl-PL"/>
        </w:rPr>
        <w:t xml:space="preserve"> Wyłączenia to oznaczają, że na postanowienia w sprawie zawieszenia postępowania i kontroli  oraz postanowienia o odmowie podjęcia zawieszonego postępowania i kontroli nie będzie przysługiwać zażalenie. Postanowienia te będą jednak mogły być zaskarżone w odwołaniu od decyzji, co wynika z art. 237 Ordynacji podatkowej.</w:t>
      </w:r>
    </w:p>
    <w:p w:rsidR="00787CCA" w:rsidRDefault="00787CCA" w:rsidP="004F052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rozliczenia dotacji NGO:</w:t>
      </w:r>
    </w:p>
    <w:p w:rsidR="00787CCA" w:rsidRPr="00787CCA" w:rsidRDefault="00787CCA" w:rsidP="00787CCA">
      <w:pPr>
        <w:suppressAutoHyphens/>
        <w:autoSpaceDE w:val="0"/>
        <w:autoSpaceDN w:val="0"/>
        <w:adjustRightInd w:val="0"/>
        <w:spacing w:after="120" w:line="360" w:lineRule="auto"/>
        <w:jc w:val="both"/>
        <w:rPr>
          <w:rFonts w:ascii="Times New Roman" w:hAnsi="Times New Roman"/>
          <w:lang w:eastAsia="pl-PL"/>
        </w:rPr>
      </w:pPr>
      <w:r w:rsidRPr="00787CCA">
        <w:rPr>
          <w:rFonts w:ascii="Times New Roman" w:hAnsi="Times New Roman"/>
          <w:lang w:eastAsia="pl-PL"/>
        </w:rPr>
        <w:t>Organizacje pozarządowe i podmioty wymienione w art. 3 ust. 3 ustawy o działalności pożytku publicznego i o wolontariacie prowadzą działalność pożytku publicznego na podstawie zlecenia realizacji zadań publicznych po przeprowadzeniu otwartego konkursu ofert. Organ administracji publicznej zlecając realizację zadania przekazuje dotację w rozumieniu art. 127 ust. 1 pkt 1 lit. e oraz art. 221 ustawy o finansach</w:t>
      </w:r>
      <w:r>
        <w:rPr>
          <w:rFonts w:ascii="Times New Roman" w:hAnsi="Times New Roman"/>
          <w:lang w:eastAsia="pl-PL"/>
        </w:rPr>
        <w:t>.</w:t>
      </w:r>
      <w:r w:rsidRPr="00787CCA">
        <w:rPr>
          <w:rFonts w:ascii="Times New Roman" w:hAnsi="Times New Roman"/>
          <w:lang w:eastAsia="pl-PL"/>
        </w:rPr>
        <w:t xml:space="preserve"> Wykonując zadanie organizacje pozarządowe podlegają rygorom określonym w ustawach o działalności pożytku publicznego i o wolontariacie, o finansach publicznych i innych. W szczególności w terminach określonych w ustawie o finansach publicznej organizacje składają sprawozdania z realizacji zadania. W przypadkach określonych w ustawie o finansach publicznej organizacje zobowiązane są do zwrotu dotacji wykorzystanej niezgodnie z przeznaczeniem, pobranej nienależnie lub w nadmiernej wysokości. Wystąpienie „siły wyższej” spowodowanej zagrożeniem epidemicznym oznacza konieczność uznania przez zleceniodawcę zadania publicznego jako uzasadnionych wydatków poniesionych przez organizację pozarządową na sfinansowanie działań, które musiały zostać odwołane z powodu wystąpienia siły wyższej. Ponadto w przypadku, o którym mowa, niewykonanie planu działań bądź nieosiągnięcie rezultatów założonych w umowie, na podstawie której zlecono realizację zadania publicznego, nie może skutkować uznaniem dotacji w tej części za wykorzystaną niezgodnie z przeznaczeniem, pobraną nienależnie lub w nadmiernej wysokości i podlegającą zwrotowi.</w:t>
      </w:r>
    </w:p>
    <w:p w:rsidR="00787CCA" w:rsidRDefault="00787CCA" w:rsidP="00702F6A">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możliwości zlecania zadań dla NGO:</w:t>
      </w:r>
    </w:p>
    <w:p w:rsidR="00787CCA" w:rsidRPr="00787CCA" w:rsidRDefault="00787CCA" w:rsidP="00787CCA">
      <w:pPr>
        <w:suppressAutoHyphens/>
        <w:autoSpaceDE w:val="0"/>
        <w:autoSpaceDN w:val="0"/>
        <w:adjustRightInd w:val="0"/>
        <w:spacing w:after="120" w:line="360" w:lineRule="auto"/>
        <w:jc w:val="both"/>
        <w:rPr>
          <w:rFonts w:ascii="Times New Roman" w:hAnsi="Times New Roman"/>
          <w:lang w:eastAsia="pl-PL"/>
        </w:rPr>
      </w:pPr>
      <w:r w:rsidRPr="00787CCA">
        <w:rPr>
          <w:rFonts w:ascii="Times New Roman" w:hAnsi="Times New Roman"/>
          <w:lang w:eastAsia="pl-PL"/>
        </w:rPr>
        <w:t>Nowelizacja ustawy o działalności pożytku publicznego i o wolontariacie w szczególnie uzasadnionych sytuacjach przewidziała możliwość odstąpienia od zasady zlecania zadań w trybie otwartego konkursu ofert. W razie wystąpienia klęski żywiołowej, katastrofy naturalnej lub awarii technicznej została stworzona możliwość zlecania zadań z pominięciem</w:t>
      </w:r>
      <w:r>
        <w:rPr>
          <w:rFonts w:ascii="Times New Roman" w:hAnsi="Times New Roman"/>
          <w:lang w:eastAsia="pl-PL"/>
        </w:rPr>
        <w:t xml:space="preserve"> trybu otwartego konkursu ofert. </w:t>
      </w:r>
      <w:r w:rsidRPr="00787CCA">
        <w:rPr>
          <w:rFonts w:ascii="Times New Roman" w:hAnsi="Times New Roman"/>
          <w:lang w:eastAsia="pl-PL"/>
        </w:rPr>
        <w:t xml:space="preserve">W związku z wystąpieniem zagrożenia epidemicznego i skutkami jakie niesie dla szczególnych grup obywateli wymagających szczególnej troski, w tym osób bezdomnych, osób starszych, niesamodzielnych, które powinny ograniczyć przemieszczanie się ze względu na swoje bezpieczeństwo oraz potrzebą zapewnienia niezbędnych warunków do przeżycia organy administracji publicznej, w tym jednostki samorządu terytorialnego, zobowiązane zostały do prowadzenia działań łagodzących skutki, o których mowa wyżej. W tym zakresie i zgodnie z uzasadnieniem wprowadzenia </w:t>
      </w:r>
      <w:r w:rsidRPr="00787CCA">
        <w:rPr>
          <w:rFonts w:ascii="Times New Roman" w:hAnsi="Times New Roman"/>
          <w:lang w:eastAsia="pl-PL"/>
        </w:rPr>
        <w:lastRenderedPageBreak/>
        <w:t>możliwości odstąpienia od zasady zlecania zadań w trybie otwartego konkursu ofert w art. 11a ustawy o działalności pożytku publicznego i o wolontariacie niezbędne jest umożliwienie organom administracji publicznej zlecania zadań publicznych organizacjom pozarządowym i podmiotom wymienionym w art. 3 ust. 3 ustawy o działalności pożytku publicznego i o wolontariacie w sytuacji obecnego zagrożenia epidemicznego.</w:t>
      </w:r>
    </w:p>
    <w:p w:rsidR="00702F6A" w:rsidRDefault="00702F6A" w:rsidP="00702F6A">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planowania wydatków budżetowych i finansowania działań:</w:t>
      </w:r>
    </w:p>
    <w:p w:rsidR="00702F6A" w:rsidRPr="004A6A28" w:rsidRDefault="00702F6A" w:rsidP="00702F6A">
      <w:pPr>
        <w:suppressAutoHyphens/>
        <w:autoSpaceDE w:val="0"/>
        <w:autoSpaceDN w:val="0"/>
        <w:adjustRightInd w:val="0"/>
        <w:spacing w:after="120" w:line="360" w:lineRule="auto"/>
        <w:jc w:val="both"/>
        <w:rPr>
          <w:rFonts w:ascii="Times New Roman" w:hAnsi="Times New Roman"/>
          <w:lang w:eastAsia="pl-PL"/>
        </w:rPr>
      </w:pPr>
      <w:r w:rsidRPr="004A6A28">
        <w:rPr>
          <w:rFonts w:ascii="Times New Roman" w:hAnsi="Times New Roman"/>
          <w:lang w:eastAsia="pl-PL"/>
        </w:rPr>
        <w:t xml:space="preserve">Proponuje się zmianę brzmienia art. 31 ust. 1 polegającą na wskazaniu, że to Prezes Rady Ministrów, a nie Rada Ministrów może, w drodze rozporządzenia, dokonywać przeniesienia planowanych wydatków budżetowych między częściami i działami budżetu państwa. Prezes Rady Ministrów może dokonać przeniesień wydatków, </w:t>
      </w:r>
      <w:r>
        <w:rPr>
          <w:rFonts w:ascii="Times New Roman" w:hAnsi="Times New Roman"/>
          <w:lang w:eastAsia="pl-PL"/>
        </w:rPr>
        <w:t xml:space="preserve">o których mowa w tym przepisie </w:t>
      </w:r>
      <w:r w:rsidRPr="004A6A28">
        <w:rPr>
          <w:rFonts w:ascii="Times New Roman" w:hAnsi="Times New Roman"/>
          <w:lang w:eastAsia="pl-PL"/>
        </w:rPr>
        <w:t xml:space="preserve">uwzględniając wysokość oraz rodzaj koniecznego wsparcia </w:t>
      </w:r>
      <w:r>
        <w:rPr>
          <w:rFonts w:ascii="Times New Roman" w:hAnsi="Times New Roman"/>
          <w:lang w:eastAsia="pl-PL"/>
        </w:rPr>
        <w:t xml:space="preserve">i bieżące wykonanie wydatków w </w:t>
      </w:r>
      <w:r w:rsidRPr="004A6A28">
        <w:rPr>
          <w:rFonts w:ascii="Times New Roman" w:hAnsi="Times New Roman"/>
          <w:lang w:eastAsia="pl-PL"/>
        </w:rPr>
        <w:t>poszczególnych częściach i działach budżetu państwa.</w:t>
      </w:r>
    </w:p>
    <w:p w:rsidR="00702F6A" w:rsidRDefault="00702F6A" w:rsidP="00702F6A">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Ponadto</w:t>
      </w:r>
      <w:r w:rsidRPr="004A6A28">
        <w:rPr>
          <w:rFonts w:ascii="Times New Roman" w:hAnsi="Times New Roman"/>
          <w:lang w:eastAsia="pl-PL"/>
        </w:rPr>
        <w:t xml:space="preserve"> zaproponowano rozwiązanie, zgodnie z którym w celu przeciwdziałania COVID-19 Prezes Rady Ministrów będzie mógł podjąć decyzję o zabl</w:t>
      </w:r>
      <w:r>
        <w:rPr>
          <w:rFonts w:ascii="Times New Roman" w:hAnsi="Times New Roman"/>
          <w:lang w:eastAsia="pl-PL"/>
        </w:rPr>
        <w:t>okowaniu planowanych wydatków w </w:t>
      </w:r>
      <w:r w:rsidRPr="004A6A28">
        <w:rPr>
          <w:rFonts w:ascii="Times New Roman" w:hAnsi="Times New Roman"/>
          <w:lang w:eastAsia="pl-PL"/>
        </w:rPr>
        <w:t>zakresie całego budżetu państwa, określając część budżetu państwa oraz łączną kwotę wydatków, która podlega blokowaniu. Prezes Rady Ministrów powierzy Ministrowi Finansów wykonanie ww. decyzji, a szczegółową klasyfikację wydatków, które podlegają blokowaniu, ustalał będzie dysponent części budżetowej. Ze zablokowanych środków Minister Finansów będzie mógł utworzyć nową rezerwę celową z przeznaczeniem</w:t>
      </w:r>
      <w:r>
        <w:rPr>
          <w:rFonts w:ascii="Times New Roman" w:hAnsi="Times New Roman"/>
          <w:lang w:eastAsia="pl-PL"/>
        </w:rPr>
        <w:t xml:space="preserve"> na przeciwdziałanie COVID-19. </w:t>
      </w:r>
      <w:r w:rsidRPr="004A6A28">
        <w:rPr>
          <w:rFonts w:ascii="Times New Roman" w:hAnsi="Times New Roman"/>
          <w:lang w:eastAsia="pl-PL"/>
        </w:rPr>
        <w:t>Podziału tej rezerwy celowej dokonywał będzie Minister Finansów na wniosek dysponenta r</w:t>
      </w:r>
      <w:r>
        <w:rPr>
          <w:rFonts w:ascii="Times New Roman" w:hAnsi="Times New Roman"/>
          <w:lang w:eastAsia="pl-PL"/>
        </w:rPr>
        <w:t>ealizującego zadanie związane z </w:t>
      </w:r>
      <w:r w:rsidRPr="004A6A28">
        <w:rPr>
          <w:rFonts w:ascii="Times New Roman" w:hAnsi="Times New Roman"/>
          <w:lang w:eastAsia="pl-PL"/>
        </w:rPr>
        <w:t>przeciwdziałaniem COVID-19, po akceptacji wniosku przez Prezesa Rady Ministrów.</w:t>
      </w:r>
    </w:p>
    <w:p w:rsidR="00702F6A" w:rsidRPr="00560761" w:rsidRDefault="00702F6A" w:rsidP="0056076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Zmiana w zakresie ust. 6 dotyczy finansowania ś</w:t>
      </w:r>
      <w:r w:rsidRPr="004A6A28">
        <w:rPr>
          <w:rFonts w:ascii="Times New Roman" w:hAnsi="Times New Roman"/>
          <w:lang w:eastAsia="pl-PL"/>
        </w:rPr>
        <w:t>wiadcze</w:t>
      </w:r>
      <w:r>
        <w:rPr>
          <w:rFonts w:ascii="Times New Roman" w:hAnsi="Times New Roman"/>
          <w:lang w:eastAsia="pl-PL"/>
        </w:rPr>
        <w:t>ń</w:t>
      </w:r>
      <w:r w:rsidRPr="004A6A28">
        <w:rPr>
          <w:rFonts w:ascii="Times New Roman" w:hAnsi="Times New Roman"/>
          <w:lang w:eastAsia="pl-PL"/>
        </w:rPr>
        <w:t xml:space="preserve"> opieki zdrowotnej, w tym transportu sanitarnego, udzielone przez podmioty wykonujące dz</w:t>
      </w:r>
      <w:r>
        <w:rPr>
          <w:rFonts w:ascii="Times New Roman" w:hAnsi="Times New Roman"/>
          <w:lang w:eastAsia="pl-PL"/>
        </w:rPr>
        <w:t>iałalność leczniczą w związku z </w:t>
      </w:r>
      <w:r w:rsidRPr="004A6A28">
        <w:rPr>
          <w:rFonts w:ascii="Times New Roman" w:hAnsi="Times New Roman"/>
          <w:lang w:eastAsia="pl-PL"/>
        </w:rPr>
        <w:t>przeciwdziałaniem COVID-19</w:t>
      </w:r>
      <w:r>
        <w:rPr>
          <w:rFonts w:ascii="Times New Roman" w:hAnsi="Times New Roman"/>
          <w:lang w:eastAsia="pl-PL"/>
        </w:rPr>
        <w:t>.</w:t>
      </w:r>
    </w:p>
    <w:p w:rsidR="00FD069F" w:rsidRPr="00691C98" w:rsidRDefault="00FD069F" w:rsidP="00FD069F">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Przepisy przejściowe o Funduszu Gwarantowanych Świadczeń Pracowniczych:</w:t>
      </w:r>
    </w:p>
    <w:p w:rsidR="00FD069F" w:rsidRPr="00691C98" w:rsidRDefault="00FD069F" w:rsidP="00FD069F">
      <w:pPr>
        <w:spacing w:after="120" w:line="360" w:lineRule="auto"/>
        <w:jc w:val="both"/>
        <w:rPr>
          <w:rFonts w:ascii="Times New Roman" w:hAnsi="Times New Roman"/>
        </w:rPr>
      </w:pPr>
      <w:r>
        <w:rPr>
          <w:rFonts w:ascii="Times New Roman" w:hAnsi="Times New Roman"/>
        </w:rPr>
        <w:t>Proponuje</w:t>
      </w:r>
      <w:r w:rsidRPr="00691C98">
        <w:rPr>
          <w:rFonts w:ascii="Times New Roman" w:hAnsi="Times New Roman"/>
        </w:rPr>
        <w:t xml:space="preserve"> się wprowadzenie przepisu umożliwiającego zapewnienie środków w</w:t>
      </w:r>
      <w:r>
        <w:rPr>
          <w:rFonts w:ascii="Times New Roman" w:hAnsi="Times New Roman"/>
        </w:rPr>
        <w:t xml:space="preserve"> </w:t>
      </w:r>
      <w:r w:rsidRPr="00691C98">
        <w:rPr>
          <w:rFonts w:ascii="Times New Roman" w:hAnsi="Times New Roman"/>
        </w:rPr>
        <w:t>planie finansowym FGŚP na wypłatę świadczeń</w:t>
      </w:r>
      <w:r>
        <w:rPr>
          <w:rFonts w:ascii="Times New Roman" w:hAnsi="Times New Roman"/>
        </w:rPr>
        <w:t>.</w:t>
      </w:r>
      <w:r w:rsidRPr="00691C98">
        <w:rPr>
          <w:rFonts w:ascii="Times New Roman" w:hAnsi="Times New Roman"/>
        </w:rPr>
        <w:t xml:space="preserve"> </w:t>
      </w:r>
      <w:r>
        <w:rPr>
          <w:rFonts w:ascii="Times New Roman" w:hAnsi="Times New Roman"/>
        </w:rPr>
        <w:t>Ponadto</w:t>
      </w:r>
      <w:r w:rsidRPr="00691C98">
        <w:rPr>
          <w:rFonts w:ascii="Times New Roman" w:hAnsi="Times New Roman"/>
        </w:rPr>
        <w:t xml:space="preserve"> proponuje się wprowadzenie przepisu umożliwiającego zapewnienie środków dla FGŚP na wsparcie pracodawców, w przypadku gdy kwota środków FGŚP będzie niewystarczająca na realizację tego zadania. Zasilenie FGŚP na ten cel pochodzić będzie ze środków Funduszu Pracy stanowiących nadwyżkę finansową Funduszu Pracy. W celu udzielenia pożyczki dysponent Funduszu Pracy będzie uprawniony do</w:t>
      </w:r>
      <w:r>
        <w:rPr>
          <w:rFonts w:ascii="Times New Roman" w:hAnsi="Times New Roman"/>
        </w:rPr>
        <w:t xml:space="preserve"> </w:t>
      </w:r>
      <w:r w:rsidRPr="00691C98">
        <w:rPr>
          <w:rFonts w:ascii="Times New Roman" w:hAnsi="Times New Roman"/>
        </w:rPr>
        <w:t>dokonania zmiany w planie finansowym Funduszu Pracy polegającej na odpowiednim zmniejszeniu stanu F</w:t>
      </w:r>
      <w:r>
        <w:rPr>
          <w:rFonts w:ascii="Times New Roman" w:hAnsi="Times New Roman"/>
        </w:rPr>
        <w:t>unduszu Pracy na koniec roku. O </w:t>
      </w:r>
      <w:r w:rsidRPr="00691C98">
        <w:rPr>
          <w:rFonts w:ascii="Times New Roman" w:hAnsi="Times New Roman"/>
        </w:rPr>
        <w:t>dokonanych zmianach w planie finansowym Funduszu Pracy minister właściwy do spraw pracy zawiadomi ministra właściwego do spraw finansów publicznych w terminie 7 dni roboczych od dnia dokonania zmian.</w:t>
      </w:r>
    </w:p>
    <w:p w:rsidR="00FD069F" w:rsidRDefault="00FD069F" w:rsidP="00FD069F">
      <w:pPr>
        <w:spacing w:after="120" w:line="360" w:lineRule="auto"/>
        <w:jc w:val="both"/>
        <w:rPr>
          <w:rFonts w:ascii="Times New Roman" w:hAnsi="Times New Roman"/>
        </w:rPr>
      </w:pPr>
      <w:r w:rsidRPr="00691C98">
        <w:rPr>
          <w:rFonts w:ascii="Times New Roman" w:hAnsi="Times New Roman"/>
        </w:rPr>
        <w:lastRenderedPageBreak/>
        <w:t>W zakresie zmiany planu finansowego Funduszu Pracy i planu finansowego Funduszu Gwarantowanych Świadczeń Pracowniczych nie będą stosowane przepisy wskazane w art. 31c ustawy, w tym dotyczące zgody Ministra Finansów i opinii sejmowej komisji do spraw budżetu.</w:t>
      </w:r>
    </w:p>
    <w:p w:rsidR="004612E1" w:rsidRPr="00691C98" w:rsidRDefault="004612E1" w:rsidP="004612E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 dotyczący obowiązku informowania organu administracji architektoniczno-budowlanej:</w:t>
      </w:r>
    </w:p>
    <w:p w:rsidR="004612E1" w:rsidRDefault="004612E1" w:rsidP="004612E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Projektowany przepis</w:t>
      </w:r>
      <w:r w:rsidRPr="00691C98">
        <w:rPr>
          <w:rFonts w:ascii="Times New Roman" w:hAnsi="Times New Roman"/>
          <w:lang w:eastAsia="pl-PL"/>
        </w:rPr>
        <w:t xml:space="preserve"> wskazuje na obowiązki inwestora, który przed dniem wejścia w życie ustawy zmieniającej rozpoczął prowadzenie robót budowlanych lub zmienił sposób użytkowania obiektu budowlanego lub jego części na podstawie przepisów ustawy o szczególnych rozwiązaniach związanych z zapobieganiem, przeciwdziałaniem i zwalczaniem COVID-19, innych chorób zakaźnych oraz wywołanych nimi sytuacji kryzysowych.</w:t>
      </w:r>
    </w:p>
    <w:p w:rsidR="00F12B7C" w:rsidRPr="00691C98" w:rsidRDefault="00F12B7C" w:rsidP="00F12B7C">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 dotyczący przypadków, w których zawieszenie zajęć w centrum integracji społecznej lub klubie integracji społecznej nastąpiło przed 8 marca 2020 r.:</w:t>
      </w:r>
    </w:p>
    <w:p w:rsidR="00F12B7C" w:rsidRDefault="00F12B7C" w:rsidP="004612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Przepis ten nakazuje odpowiednie stosowanie rozwiązań dotyczących </w:t>
      </w:r>
      <w:r>
        <w:rPr>
          <w:rFonts w:ascii="Times New Roman" w:hAnsi="Times New Roman"/>
          <w:lang w:eastAsia="pl-PL"/>
        </w:rPr>
        <w:t>centrów integracji społecznej i </w:t>
      </w:r>
      <w:r w:rsidRPr="00691C98">
        <w:rPr>
          <w:rFonts w:ascii="Times New Roman" w:hAnsi="Times New Roman"/>
          <w:lang w:eastAsia="pl-PL"/>
        </w:rPr>
        <w:t>klubów integracji społecznej przewidzianych w ustawie o szczególnych rozwiązaniach związanych z zapobieganiem, przeciwdziałaniem i zwalczaniem COVID-19, innych chorób zakaźnych oraz wywołanych nimi sytuacji kryzysowych także w sytuacjach, kiedy zajęcia w nich zostały zawieszone przed 8 marca 2020 r.</w:t>
      </w:r>
    </w:p>
    <w:p w:rsidR="002618C9" w:rsidRPr="00691C98" w:rsidRDefault="002618C9" w:rsidP="002618C9">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Przepis dotyczący udzielania kredytów MŚP:</w:t>
      </w:r>
    </w:p>
    <w:p w:rsidR="002618C9" w:rsidRPr="00691C98" w:rsidRDefault="002618C9" w:rsidP="002618C9">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Celem proponowanego przepisu jest umożliwienie bankom uwzględnienia szczególnej sytuacji, w jakiej mogą znaleźć się niektórzy kredytobiorcy z segmentu MŚP wskutek </w:t>
      </w:r>
      <w:r>
        <w:rPr>
          <w:rFonts w:ascii="Times New Roman" w:hAnsi="Times New Roman"/>
          <w:lang w:eastAsia="pl-PL"/>
        </w:rPr>
        <w:t>rozprzestrzeniania się COVID-19</w:t>
      </w:r>
      <w:r w:rsidRPr="00691C98">
        <w:rPr>
          <w:rFonts w:ascii="Times New Roman" w:hAnsi="Times New Roman"/>
          <w:lang w:eastAsia="pl-PL"/>
        </w:rPr>
        <w:t>.</w:t>
      </w:r>
    </w:p>
    <w:p w:rsidR="002618C9" w:rsidRPr="00691C98" w:rsidRDefault="002618C9" w:rsidP="002618C9">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Dla takich przedsiębiorców kluczowe będzie utrzymanie zdolności do kontynuowania działalności w okresie, w którym ich zdolność generowania przychodów podlegać może – ze względu na zagrożenie epidemiologiczne – istotnemu, lecz tymczasowemu ograniczeniu lub wręcz „zamrożeniu”. Utrata możliwości finansowania bieżących potrzeb przedsiębiorcy, w szczególności regulowania bieżących zobowiązań wobec np. pracowników lub kontrahentów, mogłaby pociągać za sobą negatywne i potencjalnie nieodwracalne konsekwencje nie tylko dla samego przedsiębiorcy, lecz również dla podmiotów pozostających z nim w stosunkach gospodarczych (dostawców, poddostawców itp.). Mogłoby to prowadzić do sytuacji, gdy nawet tymczasowe – lecz istotne – ograniczenie możliwości generowania przychodów stałoby się istotnym zagrożeniem dla przedsiębiorców, zarówno kredytobiorców, jak i podmiotów z nimi współpracujących. Aby ograniczyć negatywne skutki takich tymczasowych i nadzwyczajnych (a przy tym zewnętrznych wobec kredytobiorców i przez nich niezawinionych), okoliczności, proponuje się, aby banki uzyskały – niezależnie od regulacji wynikających z przepisów prawa bankowego – możliwość przedłużenia (odnowienia) lub innych modyfikacji warunków finansowań uprzednio udzielonych takim </w:t>
      </w:r>
      <w:r w:rsidRPr="00691C98">
        <w:rPr>
          <w:rFonts w:ascii="Times New Roman" w:hAnsi="Times New Roman"/>
          <w:lang w:eastAsia="pl-PL"/>
        </w:rPr>
        <w:lastRenderedPageBreak/>
        <w:t>przedsiębiorcom. W każdym przypadku modyfikacja warunków finansowania będzie przedmiotem uzgodnienia między bankiem a kredytobiorcą, przy czym założeniem jest, iż nie będzie ona prowadziła do pogorszenia sytuacji kredytobiorcy. Bankom zostanie z kolei zapewniona elastyczność działania w tym zakresie, niezależnie od wymagań regulacyjnych prawa bankowego.</w:t>
      </w:r>
    </w:p>
    <w:p w:rsidR="002618C9" w:rsidRDefault="002618C9" w:rsidP="004612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Czynnikiem mitygującym ryzyko związane z takim szczególnym rozwiązaniem jest ograniczenie zakresu jego zastosowania do kredytobiorców, z którymi bank posiadał zawarte umowy w dniu wejścia w życie ustawy o szczególnych rozwiązaniach związanych z zapobieganiem, przeciwdziałaniem i zwalczaniem COVID-19, innych chorób zakaźnych oraz wywołanych nimi sytuacji kryzysowych. Ogranicza to bowiem zakres zastosowania proponowanego szczególnego mechanizmu do klientów znanych bankowi, i tylko takich, których sytuacja finansowa i gospodarcza była przedmiotem oceny przez bank nie dawniej niż 30 września 2019 r. Zasadniczo chodzi o stworzenie możliwości przedłużenia (utrzymania) kredytów obrotowych uprzednio udzielonych przez banki klientom, którzy po dniu 30 września 2019 r. byli poddani procesom oceny kredytowej. Celem jest umożliwienie przedsiębiorcom zachowania finansowania bieżącego (przede wszystkim chodzi o kredyty obrotowe) mimo znacznego lub wręcz całkowitego, lecz tymczasowego, wygaszenia działalności z powodu zagrożenia epidemiologicznego.</w:t>
      </w:r>
    </w:p>
    <w:p w:rsidR="00792005" w:rsidRPr="00691C98" w:rsidRDefault="00792005" w:rsidP="00792005">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Zmiana w zakresie wydawania interpretacji indywidualnych:</w:t>
      </w:r>
    </w:p>
    <w:p w:rsidR="00792005" w:rsidRPr="00AF2D90" w:rsidRDefault="00792005" w:rsidP="00792005">
      <w:pPr>
        <w:suppressAutoHyphens/>
        <w:autoSpaceDE w:val="0"/>
        <w:autoSpaceDN w:val="0"/>
        <w:adjustRightInd w:val="0"/>
        <w:spacing w:after="120" w:line="360" w:lineRule="auto"/>
        <w:jc w:val="both"/>
        <w:rPr>
          <w:rFonts w:ascii="Times New Roman" w:hAnsi="Times New Roman"/>
          <w:lang w:eastAsia="pl-PL"/>
        </w:rPr>
      </w:pPr>
      <w:r w:rsidRPr="00AF2D90">
        <w:rPr>
          <w:rFonts w:ascii="Times New Roman" w:hAnsi="Times New Roman"/>
          <w:lang w:eastAsia="pl-PL"/>
        </w:rPr>
        <w:t>Proponuje się dodanie przepisu przewidującego przedłużenie terminu na wydanie interpretacji indywidualnych przepisów prawa podatkowego o okres jednego miesiąca w celu zminimalizowania negatywnych skutków związanych z wystąpieniem COVID-19. Działania podjęte na mocy zmienianej ustawy oraz wprowadzone szczególne rozwiązania mające na celu przeciwdziałanie COVID-19 skutkować będą utrudnieniami w dochowaniu przez organy podatkowe 3-miesięcznego terminu na wydanie interpretacji indywidualnej. Brak stanowiska w tym terminie oznacza stwierdzenie prawidłowości stanowiska wnioskodawcy w pełnym zakresie (art. 14o Ordynacji podatkowej). W celu umożliwienia realizacji zadań przez organy podatkowe koni</w:t>
      </w:r>
      <w:r>
        <w:rPr>
          <w:rFonts w:ascii="Times New Roman" w:hAnsi="Times New Roman"/>
          <w:lang w:eastAsia="pl-PL"/>
        </w:rPr>
        <w:t>eczne jest przedłużenie terminu</w:t>
      </w:r>
      <w:r w:rsidRPr="00AF2D90">
        <w:rPr>
          <w:rFonts w:ascii="Times New Roman" w:hAnsi="Times New Roman"/>
          <w:lang w:eastAsia="pl-PL"/>
        </w:rPr>
        <w:t xml:space="preserve"> o 3 miesią</w:t>
      </w:r>
      <w:r>
        <w:rPr>
          <w:rFonts w:ascii="Times New Roman" w:hAnsi="Times New Roman"/>
          <w:lang w:eastAsia="pl-PL"/>
        </w:rPr>
        <w:t>c</w:t>
      </w:r>
      <w:r w:rsidRPr="00AF2D90">
        <w:rPr>
          <w:rFonts w:ascii="Times New Roman" w:hAnsi="Times New Roman"/>
          <w:lang w:eastAsia="pl-PL"/>
        </w:rPr>
        <w:t>e.</w:t>
      </w:r>
    </w:p>
    <w:p w:rsidR="00792005" w:rsidRDefault="00792005" w:rsidP="004612E1">
      <w:pPr>
        <w:suppressAutoHyphens/>
        <w:autoSpaceDE w:val="0"/>
        <w:autoSpaceDN w:val="0"/>
        <w:adjustRightInd w:val="0"/>
        <w:spacing w:after="120" w:line="360" w:lineRule="auto"/>
        <w:jc w:val="both"/>
        <w:rPr>
          <w:rFonts w:ascii="Times New Roman" w:hAnsi="Times New Roman"/>
          <w:lang w:eastAsia="pl-PL"/>
        </w:rPr>
      </w:pPr>
      <w:r w:rsidRPr="00AF2D90">
        <w:rPr>
          <w:rFonts w:ascii="Times New Roman" w:hAnsi="Times New Roman"/>
          <w:lang w:eastAsia="pl-PL"/>
        </w:rPr>
        <w:t>Proponuje się ponadto wyposażenie Ministra Finansów w kompetencję do ewentualnego przedłużenia okresu z art. 14a ust. 1 (czyli przedłużenia terminu wydania interpretacji indywidualnej z 3 do 4 miesięcy) o okres do 3 miesięcy. Minister Finansów może więcej niż jeden raz wydać rozporządzenie o przedłużeniu ustawowego przedłużenia. Ostatecznie jednak w drodze rozporządzenia będzie możliwe przedłużenie terminu o nie więcej niż 3 miesiące.</w:t>
      </w:r>
    </w:p>
    <w:p w:rsidR="00792005" w:rsidRDefault="00792005" w:rsidP="00792005">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Przepis przejściowy dotyczący odstąpienia od umów:</w:t>
      </w:r>
    </w:p>
    <w:p w:rsidR="00792005" w:rsidRDefault="00792005" w:rsidP="004612E1">
      <w:pPr>
        <w:suppressAutoHyphens/>
        <w:autoSpaceDE w:val="0"/>
        <w:autoSpaceDN w:val="0"/>
        <w:adjustRightInd w:val="0"/>
        <w:spacing w:after="120" w:line="360" w:lineRule="auto"/>
        <w:jc w:val="both"/>
        <w:rPr>
          <w:rFonts w:ascii="Times New Roman" w:hAnsi="Times New Roman"/>
          <w:color w:val="000000"/>
          <w:lang w:eastAsia="pl-PL"/>
        </w:rPr>
      </w:pPr>
      <w:r>
        <w:rPr>
          <w:rFonts w:ascii="Times New Roman" w:hAnsi="Times New Roman"/>
          <w:color w:val="000000"/>
          <w:lang w:eastAsia="pl-PL"/>
        </w:rPr>
        <w:t>Proponuje się</w:t>
      </w:r>
      <w:r w:rsidRPr="00E11FAC">
        <w:rPr>
          <w:rFonts w:ascii="Times New Roman" w:hAnsi="Times New Roman"/>
          <w:color w:val="000000"/>
          <w:lang w:eastAsia="pl-PL"/>
        </w:rPr>
        <w:t xml:space="preserve"> odpowiednie stosowanie rozwiązań w</w:t>
      </w:r>
      <w:r>
        <w:rPr>
          <w:rFonts w:ascii="Times New Roman" w:hAnsi="Times New Roman"/>
          <w:color w:val="000000"/>
          <w:lang w:eastAsia="pl-PL"/>
        </w:rPr>
        <w:t xml:space="preserve"> </w:t>
      </w:r>
      <w:r w:rsidRPr="00E11FAC">
        <w:rPr>
          <w:rFonts w:ascii="Times New Roman" w:hAnsi="Times New Roman"/>
          <w:color w:val="000000"/>
          <w:lang w:eastAsia="pl-PL"/>
        </w:rPr>
        <w:t>przypadkach, gdy doszło już do odstąpienia od umowy o udział w imprezie turystycznej lub też do jej rozwiązania, a nie upłynął jeszcze termin na dokonanie zwrotu opłat lub wpłat, przewidzianych w</w:t>
      </w:r>
      <w:r>
        <w:rPr>
          <w:rFonts w:ascii="Times New Roman" w:hAnsi="Times New Roman"/>
          <w:color w:val="000000"/>
          <w:lang w:eastAsia="pl-PL"/>
        </w:rPr>
        <w:t> </w:t>
      </w:r>
      <w:r w:rsidRPr="00E11FAC">
        <w:rPr>
          <w:rFonts w:ascii="Times New Roman" w:hAnsi="Times New Roman"/>
          <w:color w:val="000000"/>
          <w:lang w:eastAsia="pl-PL"/>
        </w:rPr>
        <w:t>usta</w:t>
      </w:r>
      <w:r>
        <w:rPr>
          <w:rFonts w:ascii="Times New Roman" w:hAnsi="Times New Roman"/>
          <w:color w:val="000000"/>
          <w:lang w:eastAsia="pl-PL"/>
        </w:rPr>
        <w:t xml:space="preserve">wie o imprezach turystycznych </w:t>
      </w:r>
      <w:r>
        <w:rPr>
          <w:rFonts w:ascii="Times New Roman" w:hAnsi="Times New Roman"/>
          <w:color w:val="000000"/>
          <w:lang w:eastAsia="pl-PL"/>
        </w:rPr>
        <w:lastRenderedPageBreak/>
        <w:t>i </w:t>
      </w:r>
      <w:r w:rsidRPr="00E11FAC">
        <w:rPr>
          <w:rFonts w:ascii="Times New Roman" w:hAnsi="Times New Roman"/>
          <w:color w:val="000000"/>
          <w:lang w:eastAsia="pl-PL"/>
        </w:rPr>
        <w:t xml:space="preserve">powiązanych usługach turystycznych. Biorąc pod uwagę, że przepis art. 47 wspomnianej ustawy przewiduje, że zwrot ten powinien nastąpić w terminie 14 dni od dnia rozwiązania umowy, </w:t>
      </w:r>
      <w:r>
        <w:rPr>
          <w:rFonts w:ascii="Times New Roman" w:hAnsi="Times New Roman"/>
          <w:color w:val="000000"/>
          <w:lang w:eastAsia="pl-PL"/>
        </w:rPr>
        <w:t>wprowadzany przepis</w:t>
      </w:r>
      <w:r w:rsidRPr="00E11FAC">
        <w:rPr>
          <w:rFonts w:ascii="Times New Roman" w:hAnsi="Times New Roman"/>
          <w:color w:val="000000"/>
          <w:lang w:eastAsia="pl-PL"/>
        </w:rPr>
        <w:t xml:space="preserve"> znajdzie zastosowanie jedynie do stanów faktycznych zaistniałych w okresie 14 dni przed wejściem w życie ustawy nowelizującej.</w:t>
      </w:r>
    </w:p>
    <w:p w:rsidR="003B7E70" w:rsidRDefault="003B7E70" w:rsidP="003B7E70">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Przepis dotyczące pracy organów rejestrujących pojazdy: </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W związku z nadzwyczajną sytuacją dotyczącą konieczności podjęcia wszelkich działań mających na celu </w:t>
      </w:r>
      <w:r>
        <w:rPr>
          <w:rFonts w:ascii="Times New Roman" w:hAnsi="Times New Roman"/>
          <w:lang w:eastAsia="pl-PL"/>
        </w:rPr>
        <w:t>przeciwdziałanie</w:t>
      </w:r>
      <w:r w:rsidRPr="00D75829">
        <w:rPr>
          <w:rFonts w:ascii="Times New Roman" w:hAnsi="Times New Roman"/>
          <w:lang w:eastAsia="pl-PL"/>
        </w:rPr>
        <w:t xml:space="preserve"> COVID-19 należy wziąć pod uwagę sytuację zwiększonego obciążenia pracą organów rejestrujących pojazdy</w:t>
      </w:r>
      <w:r>
        <w:rPr>
          <w:rFonts w:ascii="Times New Roman" w:hAnsi="Times New Roman"/>
          <w:lang w:eastAsia="pl-PL"/>
        </w:rPr>
        <w:t>,</w:t>
      </w:r>
      <w:r w:rsidRPr="00D75829">
        <w:rPr>
          <w:rFonts w:ascii="Times New Roman" w:hAnsi="Times New Roman"/>
          <w:lang w:eastAsia="pl-PL"/>
        </w:rPr>
        <w:t xml:space="preserve"> wynikającą ze zwiększonej </w:t>
      </w:r>
      <w:r>
        <w:rPr>
          <w:rFonts w:ascii="Times New Roman" w:hAnsi="Times New Roman"/>
          <w:lang w:eastAsia="pl-PL"/>
        </w:rPr>
        <w:t>liczby</w:t>
      </w:r>
      <w:r w:rsidRPr="00D75829">
        <w:rPr>
          <w:rFonts w:ascii="Times New Roman" w:hAnsi="Times New Roman"/>
          <w:lang w:eastAsia="pl-PL"/>
        </w:rPr>
        <w:t xml:space="preserve"> osób załatwiających sprawy w</w:t>
      </w:r>
      <w:r>
        <w:rPr>
          <w:rFonts w:ascii="Times New Roman" w:hAnsi="Times New Roman"/>
          <w:lang w:eastAsia="pl-PL"/>
        </w:rPr>
        <w:t> </w:t>
      </w:r>
      <w:r w:rsidRPr="00D75829">
        <w:rPr>
          <w:rFonts w:ascii="Times New Roman" w:hAnsi="Times New Roman"/>
          <w:lang w:eastAsia="pl-PL"/>
        </w:rPr>
        <w:t>urzędach tych organów.</w:t>
      </w:r>
      <w:r>
        <w:rPr>
          <w:rFonts w:ascii="Times New Roman" w:hAnsi="Times New Roman"/>
          <w:lang w:eastAsia="pl-PL"/>
        </w:rPr>
        <w:t xml:space="preserve"> </w:t>
      </w:r>
      <w:r w:rsidRPr="00D75829">
        <w:rPr>
          <w:rFonts w:ascii="Times New Roman" w:hAnsi="Times New Roman"/>
          <w:lang w:eastAsia="pl-PL"/>
        </w:rPr>
        <w:t xml:space="preserve">Wobec tego w specjalnych rozwiązaniach prawnych z tym związanych proponuje się również </w:t>
      </w:r>
      <w:r>
        <w:rPr>
          <w:rFonts w:ascii="Times New Roman" w:hAnsi="Times New Roman"/>
          <w:lang w:eastAsia="pl-PL"/>
        </w:rPr>
        <w:t>dodanie</w:t>
      </w:r>
      <w:r w:rsidRPr="00D75829">
        <w:rPr>
          <w:rFonts w:ascii="Times New Roman" w:hAnsi="Times New Roman"/>
          <w:lang w:eastAsia="pl-PL"/>
        </w:rPr>
        <w:t xml:space="preserve"> przepisów epizodycznych związanych z przepisami ustawy</w:t>
      </w:r>
      <w:r>
        <w:rPr>
          <w:rFonts w:ascii="Times New Roman" w:hAnsi="Times New Roman"/>
          <w:lang w:eastAsia="pl-PL"/>
        </w:rPr>
        <w:t xml:space="preserve"> - Prawo o ruchu drogowym</w:t>
      </w:r>
      <w:r w:rsidRPr="00D75829">
        <w:rPr>
          <w:rFonts w:ascii="Times New Roman" w:hAnsi="Times New Roman"/>
          <w:lang w:eastAsia="pl-PL"/>
        </w:rPr>
        <w:t xml:space="preserve"> dla rozwiązania przedstawionego poniżej problemu.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Z dniem 1 stycznia 2020 r. wszedł w życie art. 4 ustawy o zmianie ustawy o</w:t>
      </w:r>
      <w:r>
        <w:rPr>
          <w:rFonts w:ascii="Times New Roman" w:hAnsi="Times New Roman"/>
          <w:lang w:eastAsia="pl-PL"/>
        </w:rPr>
        <w:t> </w:t>
      </w:r>
      <w:r w:rsidRPr="00D75829">
        <w:rPr>
          <w:rFonts w:ascii="Times New Roman" w:hAnsi="Times New Roman"/>
          <w:lang w:eastAsia="pl-PL"/>
        </w:rPr>
        <w:t xml:space="preserve">utrzymaniu czystości i porządku </w:t>
      </w:r>
      <w:r>
        <w:rPr>
          <w:rFonts w:ascii="Times New Roman" w:hAnsi="Times New Roman"/>
          <w:lang w:eastAsia="pl-PL"/>
        </w:rPr>
        <w:t>w gminach oraz niektórych ustaw</w:t>
      </w:r>
      <w:r w:rsidRPr="00D75829">
        <w:rPr>
          <w:rFonts w:ascii="Times New Roman" w:hAnsi="Times New Roman"/>
          <w:lang w:eastAsia="pl-PL"/>
        </w:rPr>
        <w:t xml:space="preserve">, który zmienił ustawę - Prawo o ruchu drogowym. </w:t>
      </w:r>
      <w:r>
        <w:rPr>
          <w:rFonts w:ascii="Times New Roman" w:hAnsi="Times New Roman"/>
          <w:lang w:eastAsia="pl-PL"/>
        </w:rPr>
        <w:t>Zmiana ta</w:t>
      </w:r>
      <w:r w:rsidRPr="00D75829">
        <w:rPr>
          <w:rFonts w:ascii="Times New Roman" w:hAnsi="Times New Roman"/>
          <w:lang w:eastAsia="pl-PL"/>
        </w:rPr>
        <w:t xml:space="preserve"> była prowadzona przez Ministra Środowiska i</w:t>
      </w:r>
      <w:r>
        <w:rPr>
          <w:rFonts w:ascii="Times New Roman" w:hAnsi="Times New Roman"/>
          <w:lang w:eastAsia="pl-PL"/>
        </w:rPr>
        <w:t> </w:t>
      </w:r>
      <w:r w:rsidRPr="00D75829">
        <w:rPr>
          <w:rFonts w:ascii="Times New Roman" w:hAnsi="Times New Roman"/>
          <w:lang w:eastAsia="pl-PL"/>
        </w:rPr>
        <w:t>związana z zarzutami Komisji Europejskiej dotyczących uchybienia zobowiązaniom transpozycji dyrektywy Parlamentu Europejskiego i Rady 2000/53/WE z dnia 18 września 2000 r. w</w:t>
      </w:r>
      <w:r>
        <w:rPr>
          <w:rFonts w:ascii="Times New Roman" w:hAnsi="Times New Roman"/>
          <w:lang w:eastAsia="pl-PL"/>
        </w:rPr>
        <w:t> </w:t>
      </w:r>
      <w:r w:rsidRPr="00D75829">
        <w:rPr>
          <w:rFonts w:ascii="Times New Roman" w:hAnsi="Times New Roman"/>
          <w:lang w:eastAsia="pl-PL"/>
        </w:rPr>
        <w:t>sprawie pojazdów wycofanych z eksploatacji, dotyczących m.in. braku sankcji za niezarejestrowanie importowanego pojazdu.</w:t>
      </w:r>
      <w:r>
        <w:rPr>
          <w:rFonts w:ascii="Times New Roman" w:hAnsi="Times New Roman"/>
          <w:lang w:eastAsia="pl-PL"/>
        </w:rPr>
        <w:t xml:space="preserve"> </w:t>
      </w:r>
      <w:r w:rsidRPr="00D75829">
        <w:rPr>
          <w:rFonts w:ascii="Times New Roman" w:hAnsi="Times New Roman"/>
          <w:lang w:eastAsia="pl-PL"/>
        </w:rPr>
        <w:t xml:space="preserve">W związku z powyższym w ustawie - Prawo o ruchu drogowym 1 stycznia 2020 r. </w:t>
      </w:r>
      <w:r>
        <w:rPr>
          <w:rFonts w:ascii="Times New Roman" w:hAnsi="Times New Roman"/>
          <w:lang w:eastAsia="pl-PL"/>
        </w:rPr>
        <w:t>weszła w życie zmiana brzmienia</w:t>
      </w:r>
      <w:r w:rsidRPr="00D75829">
        <w:rPr>
          <w:rFonts w:ascii="Times New Roman" w:hAnsi="Times New Roman"/>
          <w:lang w:eastAsia="pl-PL"/>
        </w:rPr>
        <w:t xml:space="preserve"> </w:t>
      </w:r>
      <w:r>
        <w:rPr>
          <w:rFonts w:ascii="Times New Roman" w:hAnsi="Times New Roman"/>
          <w:lang w:eastAsia="pl-PL"/>
        </w:rPr>
        <w:t>art. 71 ust. 7 i</w:t>
      </w:r>
      <w:r w:rsidRPr="00D75829">
        <w:rPr>
          <w:rFonts w:ascii="Times New Roman" w:hAnsi="Times New Roman"/>
          <w:lang w:eastAsia="pl-PL"/>
        </w:rPr>
        <w:t xml:space="preserve"> art.</w:t>
      </w:r>
      <w:r>
        <w:rPr>
          <w:rFonts w:ascii="Times New Roman" w:hAnsi="Times New Roman"/>
          <w:lang w:eastAsia="pl-PL"/>
        </w:rPr>
        <w:t xml:space="preserve"> </w:t>
      </w:r>
      <w:r w:rsidRPr="00D75829">
        <w:rPr>
          <w:rFonts w:ascii="Times New Roman" w:hAnsi="Times New Roman"/>
          <w:lang w:eastAsia="pl-PL"/>
        </w:rPr>
        <w:t>l40n</w:t>
      </w:r>
      <w:r w:rsidRPr="00EC3347">
        <w:rPr>
          <w:rFonts w:ascii="Times New Roman" w:hAnsi="Times New Roman"/>
          <w:lang w:eastAsia="pl-PL"/>
        </w:rPr>
        <w:t xml:space="preserve"> </w:t>
      </w:r>
      <w:r>
        <w:rPr>
          <w:rFonts w:ascii="Times New Roman" w:hAnsi="Times New Roman"/>
          <w:lang w:eastAsia="pl-PL"/>
        </w:rPr>
        <w:t xml:space="preserve">oraz </w:t>
      </w:r>
      <w:r w:rsidRPr="00EC3347">
        <w:rPr>
          <w:rFonts w:ascii="Times New Roman" w:hAnsi="Times New Roman"/>
          <w:lang w:eastAsia="pl-PL"/>
        </w:rPr>
        <w:t>zaczął obowiązywać dodany art.</w:t>
      </w:r>
      <w:r>
        <w:rPr>
          <w:rFonts w:ascii="Times New Roman" w:hAnsi="Times New Roman"/>
          <w:lang w:eastAsia="pl-PL"/>
        </w:rPr>
        <w:t> </w:t>
      </w:r>
      <w:r w:rsidRPr="00EC3347">
        <w:rPr>
          <w:rFonts w:ascii="Times New Roman" w:hAnsi="Times New Roman"/>
          <w:lang w:eastAsia="pl-PL"/>
        </w:rPr>
        <w:t>140mb</w:t>
      </w:r>
      <w:r w:rsidRPr="00D75829">
        <w:rPr>
          <w:rFonts w:ascii="Times New Roman" w:hAnsi="Times New Roman"/>
          <w:lang w:eastAsia="pl-PL"/>
        </w:rPr>
        <w:t>.</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Art. 140mb ustawy </w:t>
      </w:r>
      <w:r>
        <w:rPr>
          <w:rFonts w:ascii="Times New Roman" w:hAnsi="Times New Roman"/>
          <w:lang w:eastAsia="pl-PL"/>
        </w:rPr>
        <w:t xml:space="preserve">– </w:t>
      </w:r>
      <w:r w:rsidRPr="00D75829">
        <w:rPr>
          <w:rFonts w:ascii="Times New Roman" w:hAnsi="Times New Roman"/>
          <w:lang w:eastAsia="pl-PL"/>
        </w:rPr>
        <w:t>Prawo</w:t>
      </w:r>
      <w:r>
        <w:rPr>
          <w:rFonts w:ascii="Times New Roman" w:hAnsi="Times New Roman"/>
          <w:lang w:eastAsia="pl-PL"/>
        </w:rPr>
        <w:t xml:space="preserve"> </w:t>
      </w:r>
      <w:r w:rsidRPr="00D75829">
        <w:rPr>
          <w:rFonts w:ascii="Times New Roman" w:hAnsi="Times New Roman"/>
          <w:lang w:eastAsia="pl-PL"/>
        </w:rPr>
        <w:t>o ruchu drogowym wprowadza kary pieniężne za niezarejestrowanie w terminie 30 dni pojazdu niebędącego pojazdem nowym</w:t>
      </w:r>
      <w:r>
        <w:rPr>
          <w:rFonts w:ascii="Times New Roman" w:hAnsi="Times New Roman"/>
          <w:lang w:eastAsia="pl-PL"/>
        </w:rPr>
        <w:t>,</w:t>
      </w:r>
      <w:r w:rsidRPr="00D75829">
        <w:rPr>
          <w:rFonts w:ascii="Times New Roman" w:hAnsi="Times New Roman"/>
          <w:lang w:eastAsia="pl-PL"/>
        </w:rPr>
        <w:t xml:space="preserve"> sprowadzonym z</w:t>
      </w:r>
      <w:r>
        <w:rPr>
          <w:rFonts w:ascii="Times New Roman" w:hAnsi="Times New Roman"/>
          <w:lang w:eastAsia="pl-PL"/>
        </w:rPr>
        <w:t> </w:t>
      </w:r>
      <w:r w:rsidRPr="00D75829">
        <w:rPr>
          <w:rFonts w:ascii="Times New Roman" w:hAnsi="Times New Roman"/>
          <w:lang w:eastAsia="pl-PL"/>
        </w:rPr>
        <w:t>terytorium państwa członkowskiego Unii Europejskiej</w:t>
      </w:r>
      <w:r>
        <w:rPr>
          <w:rFonts w:ascii="Times New Roman" w:hAnsi="Times New Roman"/>
          <w:lang w:eastAsia="pl-PL"/>
        </w:rPr>
        <w:t>,</w:t>
      </w:r>
      <w:r w:rsidRPr="00D75829">
        <w:rPr>
          <w:rFonts w:ascii="Times New Roman" w:hAnsi="Times New Roman"/>
          <w:lang w:eastAsia="pl-PL"/>
        </w:rPr>
        <w:t xml:space="preserve"> albo niezawiadomienie w terminie 30 dni </w:t>
      </w:r>
      <w:r>
        <w:rPr>
          <w:rFonts w:ascii="Times New Roman" w:hAnsi="Times New Roman"/>
          <w:lang w:eastAsia="pl-PL"/>
        </w:rPr>
        <w:t xml:space="preserve">starosty </w:t>
      </w:r>
      <w:r w:rsidRPr="00D75829">
        <w:rPr>
          <w:rFonts w:ascii="Times New Roman" w:hAnsi="Times New Roman"/>
          <w:lang w:eastAsia="pl-PL"/>
        </w:rPr>
        <w:t>o nabyciu lub zbyciu pojazdu. Powyższe kary nakłada starosta w drodze decyzji administracyjnej</w:t>
      </w:r>
      <w:r>
        <w:rPr>
          <w:rFonts w:ascii="Times New Roman" w:hAnsi="Times New Roman"/>
          <w:lang w:eastAsia="pl-PL"/>
        </w:rPr>
        <w:t>, a</w:t>
      </w:r>
      <w:r w:rsidRPr="00D75829">
        <w:rPr>
          <w:rFonts w:ascii="Times New Roman" w:hAnsi="Times New Roman"/>
          <w:lang w:eastAsia="pl-PL"/>
        </w:rPr>
        <w:t xml:space="preserve"> wpływy z tych kar stanowią dochód powiatu.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Należy zaznaczyć, że co do zasady organ rejestrujący prowadzi odrębne postępowania wobec każdego z właścicieli oraz współwłaścicieli pojazdu, co do którego został naruszony ww. obowiązek rejestracji pojazdu lub zawiadomienia o nabyciu lub zbyciu pojazdu.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Powyższe spowodowało, że </w:t>
      </w:r>
      <w:r>
        <w:rPr>
          <w:rFonts w:ascii="Times New Roman" w:hAnsi="Times New Roman"/>
          <w:lang w:eastAsia="pl-PL"/>
        </w:rPr>
        <w:t xml:space="preserve">znacznie </w:t>
      </w:r>
      <w:r w:rsidRPr="00EC3347">
        <w:rPr>
          <w:rFonts w:ascii="Times New Roman" w:hAnsi="Times New Roman"/>
          <w:lang w:eastAsia="pl-PL"/>
        </w:rPr>
        <w:t xml:space="preserve">zwiększyła się </w:t>
      </w:r>
      <w:r w:rsidRPr="00D75829">
        <w:rPr>
          <w:rFonts w:ascii="Times New Roman" w:hAnsi="Times New Roman"/>
          <w:lang w:eastAsia="pl-PL"/>
        </w:rPr>
        <w:t>liczba osób wnioskujących o rejestrację pojazdu oraz zawiadamiających o nabyciu lub zbyciu pojazdu w celu uniknięcia kar, o których mowa w</w:t>
      </w:r>
      <w:r>
        <w:rPr>
          <w:rFonts w:ascii="Times New Roman" w:hAnsi="Times New Roman"/>
          <w:lang w:eastAsia="pl-PL"/>
        </w:rPr>
        <w:t> </w:t>
      </w:r>
      <w:r w:rsidRPr="00D75829">
        <w:rPr>
          <w:rFonts w:ascii="Times New Roman" w:hAnsi="Times New Roman"/>
          <w:lang w:eastAsia="pl-PL"/>
        </w:rPr>
        <w:t>art.</w:t>
      </w:r>
      <w:r>
        <w:rPr>
          <w:rFonts w:ascii="Times New Roman" w:hAnsi="Times New Roman"/>
          <w:lang w:eastAsia="pl-PL"/>
        </w:rPr>
        <w:t> </w:t>
      </w:r>
      <w:r w:rsidRPr="00D75829">
        <w:rPr>
          <w:rFonts w:ascii="Times New Roman" w:hAnsi="Times New Roman"/>
          <w:lang w:eastAsia="pl-PL"/>
        </w:rPr>
        <w:t xml:space="preserve">140mb </w:t>
      </w:r>
      <w:r>
        <w:rPr>
          <w:rFonts w:ascii="Times New Roman" w:hAnsi="Times New Roman"/>
          <w:lang w:eastAsia="pl-PL"/>
        </w:rPr>
        <w:t xml:space="preserve">ustawy - </w:t>
      </w:r>
      <w:r w:rsidRPr="00D75829">
        <w:rPr>
          <w:rFonts w:ascii="Times New Roman" w:hAnsi="Times New Roman"/>
          <w:lang w:eastAsia="pl-PL"/>
        </w:rPr>
        <w:t xml:space="preserve">Prawo o ruchu drogowym. W szczególności są to osoby, które sprowadzają pojazdy z państw </w:t>
      </w:r>
      <w:r>
        <w:rPr>
          <w:rFonts w:ascii="Times New Roman" w:hAnsi="Times New Roman"/>
          <w:lang w:eastAsia="pl-PL"/>
        </w:rPr>
        <w:t>takich jak m.in. Niemcy</w:t>
      </w:r>
      <w:r w:rsidRPr="00D75829">
        <w:rPr>
          <w:rFonts w:ascii="Times New Roman" w:hAnsi="Times New Roman"/>
          <w:lang w:eastAsia="pl-PL"/>
        </w:rPr>
        <w:t>, Włoch</w:t>
      </w:r>
      <w:r>
        <w:rPr>
          <w:rFonts w:ascii="Times New Roman" w:hAnsi="Times New Roman"/>
          <w:lang w:eastAsia="pl-PL"/>
        </w:rPr>
        <w:t>y, Francja czy Holandia.</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Z danych z centralnej ewidencji pojazdów wynika, że np. w okresie styczeń 2020 r. w porównaniu z</w:t>
      </w:r>
      <w:r>
        <w:rPr>
          <w:rFonts w:ascii="Times New Roman" w:hAnsi="Times New Roman"/>
          <w:lang w:eastAsia="pl-PL"/>
        </w:rPr>
        <w:t> </w:t>
      </w:r>
      <w:r w:rsidRPr="00D75829">
        <w:rPr>
          <w:rFonts w:ascii="Times New Roman" w:hAnsi="Times New Roman"/>
          <w:lang w:eastAsia="pl-PL"/>
        </w:rPr>
        <w:t>okresem styczeń 2019 r. wzrosła liczba za</w:t>
      </w:r>
      <w:r>
        <w:rPr>
          <w:rFonts w:ascii="Times New Roman" w:hAnsi="Times New Roman"/>
          <w:lang w:eastAsia="pl-PL"/>
        </w:rPr>
        <w:t>wiadomień o zbyciu pojazdu z 10</w:t>
      </w:r>
      <w:r w:rsidRPr="00D75829">
        <w:rPr>
          <w:rFonts w:ascii="Times New Roman" w:hAnsi="Times New Roman"/>
          <w:lang w:eastAsia="pl-PL"/>
        </w:rPr>
        <w:t xml:space="preserve">9954 do 167987. Część tych zawiadomień wpływa </w:t>
      </w:r>
      <w:r>
        <w:rPr>
          <w:rFonts w:ascii="Times New Roman" w:hAnsi="Times New Roman"/>
          <w:lang w:eastAsia="pl-PL"/>
        </w:rPr>
        <w:t>z wykorzystaniem platformy e</w:t>
      </w:r>
      <w:r w:rsidRPr="00D75829">
        <w:rPr>
          <w:rFonts w:ascii="Times New Roman" w:hAnsi="Times New Roman"/>
          <w:lang w:eastAsia="pl-PL"/>
        </w:rPr>
        <w:t>PUAP i nie generuje wizyty obywatela w</w:t>
      </w:r>
      <w:r>
        <w:rPr>
          <w:rFonts w:ascii="Times New Roman" w:hAnsi="Times New Roman"/>
          <w:lang w:eastAsia="pl-PL"/>
        </w:rPr>
        <w:t> </w:t>
      </w:r>
      <w:r w:rsidRPr="00D75829">
        <w:rPr>
          <w:rFonts w:ascii="Times New Roman" w:hAnsi="Times New Roman"/>
          <w:lang w:eastAsia="pl-PL"/>
        </w:rPr>
        <w:t xml:space="preserve">urzędzie, ale niezależnie od tego jest to znaczny wzrost </w:t>
      </w:r>
      <w:r>
        <w:rPr>
          <w:rFonts w:ascii="Times New Roman" w:hAnsi="Times New Roman"/>
          <w:lang w:eastAsia="pl-PL"/>
        </w:rPr>
        <w:t xml:space="preserve">liczby </w:t>
      </w:r>
      <w:r w:rsidRPr="00D75829">
        <w:rPr>
          <w:rFonts w:ascii="Times New Roman" w:hAnsi="Times New Roman"/>
          <w:lang w:eastAsia="pl-PL"/>
        </w:rPr>
        <w:t xml:space="preserve">interesantów </w:t>
      </w:r>
      <w:r>
        <w:rPr>
          <w:rFonts w:ascii="Times New Roman" w:hAnsi="Times New Roman"/>
          <w:lang w:eastAsia="pl-PL"/>
        </w:rPr>
        <w:t xml:space="preserve">bezpośrednio </w:t>
      </w:r>
      <w:r>
        <w:rPr>
          <w:rFonts w:ascii="Times New Roman" w:hAnsi="Times New Roman"/>
          <w:lang w:eastAsia="pl-PL"/>
        </w:rPr>
        <w:lastRenderedPageBreak/>
        <w:t xml:space="preserve">obsługiwanych </w:t>
      </w:r>
      <w:r w:rsidRPr="00D75829">
        <w:rPr>
          <w:rFonts w:ascii="Times New Roman" w:hAnsi="Times New Roman"/>
          <w:lang w:eastAsia="pl-PL"/>
        </w:rPr>
        <w:t xml:space="preserve">w urzędach. </w:t>
      </w:r>
      <w:r>
        <w:rPr>
          <w:rFonts w:ascii="Times New Roman" w:hAnsi="Times New Roman"/>
          <w:lang w:eastAsia="pl-PL"/>
        </w:rPr>
        <w:t>Dane</w:t>
      </w:r>
      <w:r w:rsidRPr="00D75829">
        <w:rPr>
          <w:rFonts w:ascii="Times New Roman" w:hAnsi="Times New Roman"/>
          <w:lang w:eastAsia="pl-PL"/>
        </w:rPr>
        <w:t xml:space="preserve"> z centralnej ewidencji pojazdów </w:t>
      </w:r>
      <w:r>
        <w:rPr>
          <w:rFonts w:ascii="Times New Roman" w:hAnsi="Times New Roman"/>
          <w:lang w:eastAsia="pl-PL"/>
        </w:rPr>
        <w:t>wskazują także na wzrost liczby</w:t>
      </w:r>
      <w:r w:rsidRPr="00AA6CF5">
        <w:rPr>
          <w:rFonts w:ascii="Times New Roman" w:hAnsi="Times New Roman"/>
          <w:lang w:eastAsia="pl-PL"/>
        </w:rPr>
        <w:t xml:space="preserve"> pojazdów rejestrowanych z państw członkowskich UE</w:t>
      </w:r>
      <w:r>
        <w:rPr>
          <w:rFonts w:ascii="Times New Roman" w:hAnsi="Times New Roman"/>
          <w:lang w:eastAsia="pl-PL"/>
        </w:rPr>
        <w:t xml:space="preserve"> </w:t>
      </w:r>
      <w:r w:rsidRPr="00D75829">
        <w:rPr>
          <w:rFonts w:ascii="Times New Roman" w:hAnsi="Times New Roman"/>
          <w:lang w:eastAsia="pl-PL"/>
        </w:rPr>
        <w:t xml:space="preserve">w porównywanych analogicznych miesiącach </w:t>
      </w:r>
      <w:r>
        <w:rPr>
          <w:rFonts w:ascii="Times New Roman" w:hAnsi="Times New Roman"/>
          <w:lang w:eastAsia="pl-PL"/>
        </w:rPr>
        <w:t>(</w:t>
      </w:r>
      <w:r w:rsidRPr="00D75829">
        <w:rPr>
          <w:rFonts w:ascii="Times New Roman" w:hAnsi="Times New Roman"/>
          <w:lang w:eastAsia="pl-PL"/>
        </w:rPr>
        <w:t>jak wyżej</w:t>
      </w:r>
      <w:r>
        <w:rPr>
          <w:rFonts w:ascii="Times New Roman" w:hAnsi="Times New Roman"/>
          <w:lang w:eastAsia="pl-PL"/>
        </w:rPr>
        <w:t>)</w:t>
      </w:r>
      <w:r w:rsidRPr="00D75829">
        <w:rPr>
          <w:rFonts w:ascii="Times New Roman" w:hAnsi="Times New Roman"/>
          <w:lang w:eastAsia="pl-PL"/>
        </w:rPr>
        <w:t xml:space="preserve"> </w:t>
      </w:r>
      <w:r>
        <w:rPr>
          <w:rFonts w:ascii="Times New Roman" w:hAnsi="Times New Roman"/>
          <w:lang w:eastAsia="pl-PL"/>
        </w:rPr>
        <w:t>z</w:t>
      </w:r>
      <w:r w:rsidRPr="00D75829">
        <w:rPr>
          <w:rFonts w:ascii="Times New Roman" w:hAnsi="Times New Roman"/>
          <w:lang w:eastAsia="pl-PL"/>
        </w:rPr>
        <w:t xml:space="preserve"> 78520 do 86573. Należy podkreślić, że  urzędy w sprawach rejestracji pojazdów nawet przed wejściem w życie omawianych przepisów o karach pieniężnych obsługiwały znaczną liczbę obywateli w tych sprawach.</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W </w:t>
      </w:r>
      <w:r>
        <w:rPr>
          <w:rFonts w:ascii="Times New Roman" w:hAnsi="Times New Roman"/>
          <w:lang w:eastAsia="pl-PL"/>
        </w:rPr>
        <w:t>związku z sytuacją zobowiązującą</w:t>
      </w:r>
      <w:r w:rsidRPr="00D75829">
        <w:rPr>
          <w:rFonts w:ascii="Times New Roman" w:hAnsi="Times New Roman"/>
          <w:lang w:eastAsia="pl-PL"/>
        </w:rPr>
        <w:t xml:space="preserve"> do prewencji przed </w:t>
      </w:r>
      <w:r>
        <w:rPr>
          <w:rFonts w:ascii="Times New Roman" w:hAnsi="Times New Roman"/>
          <w:lang w:eastAsia="pl-PL"/>
        </w:rPr>
        <w:t xml:space="preserve">COVID-19 starostowie oraz </w:t>
      </w:r>
      <w:r w:rsidRPr="00D75829">
        <w:rPr>
          <w:rFonts w:ascii="Times New Roman" w:hAnsi="Times New Roman"/>
          <w:lang w:eastAsia="pl-PL"/>
        </w:rPr>
        <w:t>wojewodowie sygnalizują, że osoby oczekujące w kolejkach, jak i pracownicy starostw narażeni są na ryzyko zarażenia tym wirusem.</w:t>
      </w:r>
      <w:r>
        <w:rPr>
          <w:rFonts w:ascii="Times New Roman" w:hAnsi="Times New Roman"/>
          <w:lang w:eastAsia="pl-PL"/>
        </w:rPr>
        <w:t xml:space="preserve"> </w:t>
      </w:r>
      <w:r w:rsidRPr="00D75829">
        <w:rPr>
          <w:rFonts w:ascii="Times New Roman" w:hAnsi="Times New Roman"/>
          <w:lang w:eastAsia="pl-PL"/>
        </w:rPr>
        <w:t>Należy wziąć pod uwagę te syg</w:t>
      </w:r>
      <w:r>
        <w:rPr>
          <w:rFonts w:ascii="Times New Roman" w:hAnsi="Times New Roman"/>
          <w:lang w:eastAsia="pl-PL"/>
        </w:rPr>
        <w:t>nały i w związku z tym proponuje</w:t>
      </w:r>
      <w:r w:rsidRPr="00D75829">
        <w:rPr>
          <w:rFonts w:ascii="Times New Roman" w:hAnsi="Times New Roman"/>
          <w:lang w:eastAsia="pl-PL"/>
        </w:rPr>
        <w:t xml:space="preserve"> się </w:t>
      </w:r>
      <w:r>
        <w:rPr>
          <w:rFonts w:ascii="Times New Roman" w:hAnsi="Times New Roman"/>
          <w:lang w:eastAsia="pl-PL"/>
        </w:rPr>
        <w:t>dodanie</w:t>
      </w:r>
      <w:r w:rsidRPr="00D75829">
        <w:rPr>
          <w:rFonts w:ascii="Times New Roman" w:hAnsi="Times New Roman"/>
          <w:lang w:eastAsia="pl-PL"/>
        </w:rPr>
        <w:t xml:space="preserve"> przepisów epizodycznych, które obowiązywałyby od dnia wejścia w życie </w:t>
      </w:r>
      <w:r>
        <w:rPr>
          <w:rFonts w:ascii="Times New Roman" w:hAnsi="Times New Roman"/>
          <w:lang w:eastAsia="pl-PL"/>
        </w:rPr>
        <w:t>proponowanej ustawy nowelizującej specustawę</w:t>
      </w:r>
      <w:r w:rsidRPr="00D75829">
        <w:rPr>
          <w:rFonts w:ascii="Times New Roman" w:hAnsi="Times New Roman"/>
          <w:lang w:eastAsia="pl-PL"/>
        </w:rPr>
        <w:t xml:space="preserve"> do 31 grudnia 2020 r. Dla rozwiązania tego problemu proponuje się wydłużenie do 180 dni terminów określonych w art. 71 ust. 7 i art. 78 ust. 2 pkt 1 ustawy </w:t>
      </w:r>
      <w:r>
        <w:rPr>
          <w:rFonts w:ascii="Times New Roman" w:hAnsi="Times New Roman"/>
          <w:lang w:eastAsia="pl-PL"/>
        </w:rPr>
        <w:t>– Prawo o ruchu drogowym</w:t>
      </w:r>
      <w:r w:rsidRPr="00D75829">
        <w:rPr>
          <w:rFonts w:ascii="Times New Roman" w:hAnsi="Times New Roman"/>
          <w:lang w:eastAsia="pl-PL"/>
        </w:rPr>
        <w:t>, tj. terminów na zarejestrowanie pojazdu niebędącego pojazdem nowym sprowadzonym z terytorium państwa członkowskiego Unii Europejskiej albo zawiadomienie starosty o nabyciu lub zbyciu pojazdu. Obecnie</w:t>
      </w:r>
      <w:r>
        <w:rPr>
          <w:rFonts w:ascii="Times New Roman" w:hAnsi="Times New Roman"/>
          <w:lang w:eastAsia="pl-PL"/>
        </w:rPr>
        <w:t>,</w:t>
      </w:r>
      <w:r w:rsidRPr="00D75829">
        <w:rPr>
          <w:rFonts w:ascii="Times New Roman" w:hAnsi="Times New Roman"/>
          <w:lang w:eastAsia="pl-PL"/>
        </w:rPr>
        <w:t xml:space="preserve"> aby spełnić te wymagania</w:t>
      </w:r>
      <w:r>
        <w:rPr>
          <w:rFonts w:ascii="Times New Roman" w:hAnsi="Times New Roman"/>
          <w:lang w:eastAsia="pl-PL"/>
        </w:rPr>
        <w:t>,</w:t>
      </w:r>
      <w:r w:rsidRPr="00D75829">
        <w:rPr>
          <w:rFonts w:ascii="Times New Roman" w:hAnsi="Times New Roman"/>
          <w:lang w:eastAsia="pl-PL"/>
        </w:rPr>
        <w:t xml:space="preserve"> właścicieli pojazdów obowiązuje termin 30 dni. W wyniku tego wydłużenia inaczej będzie rozkładać się w czasie realizacja postępowań w sprawach kar pieniężnych, o których mowa w art. 140mb </w:t>
      </w:r>
      <w:r>
        <w:rPr>
          <w:rFonts w:ascii="Times New Roman" w:hAnsi="Times New Roman"/>
          <w:lang w:eastAsia="pl-PL"/>
        </w:rPr>
        <w:t>ustawy – Prawo o ruchu drogowym</w:t>
      </w:r>
      <w:r w:rsidRPr="00D75829">
        <w:rPr>
          <w:rFonts w:ascii="Times New Roman" w:hAnsi="Times New Roman"/>
          <w:lang w:eastAsia="pl-PL"/>
        </w:rPr>
        <w:t>.</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Ocenia się, że spowoduje to zmniejszenie liczby interesantów w urzędach i możliwość takiego zorganizowania pracy w urzędach organów rejestrujących pojazdy</w:t>
      </w:r>
      <w:r>
        <w:rPr>
          <w:rFonts w:ascii="Times New Roman" w:hAnsi="Times New Roman"/>
          <w:lang w:eastAsia="pl-PL"/>
        </w:rPr>
        <w:t xml:space="preserve"> –</w:t>
      </w:r>
      <w:r w:rsidRPr="00D75829">
        <w:rPr>
          <w:rFonts w:ascii="Times New Roman" w:hAnsi="Times New Roman"/>
          <w:lang w:eastAsia="pl-PL"/>
        </w:rPr>
        <w:t xml:space="preserve"> w okresie prewencji przed </w:t>
      </w:r>
      <w:r>
        <w:rPr>
          <w:rFonts w:ascii="Times New Roman" w:hAnsi="Times New Roman"/>
          <w:lang w:eastAsia="pl-PL"/>
        </w:rPr>
        <w:t>COVID-19 –</w:t>
      </w:r>
      <w:r w:rsidRPr="00D75829">
        <w:rPr>
          <w:rFonts w:ascii="Times New Roman" w:hAnsi="Times New Roman"/>
          <w:lang w:eastAsia="pl-PL"/>
        </w:rPr>
        <w:t xml:space="preserve"> że obsługa tych spraw stanie się bezpieczniejsza, z większym wykorzystaniem możliwości składania wniosków o rejestrację pojazdów i zawiadomień o nabyciu lub zbyciu pojazdu środ</w:t>
      </w:r>
      <w:r>
        <w:rPr>
          <w:rFonts w:ascii="Times New Roman" w:hAnsi="Times New Roman"/>
          <w:lang w:eastAsia="pl-PL"/>
        </w:rPr>
        <w:t>kami komunikacji elektronicznej.</w:t>
      </w:r>
      <w:r w:rsidRPr="00D75829">
        <w:rPr>
          <w:rFonts w:ascii="Times New Roman" w:hAnsi="Times New Roman"/>
          <w:lang w:eastAsia="pl-PL"/>
        </w:rPr>
        <w:t xml:space="preserve"> </w:t>
      </w:r>
      <w:r>
        <w:rPr>
          <w:rFonts w:ascii="Times New Roman" w:hAnsi="Times New Roman"/>
          <w:lang w:eastAsia="pl-PL"/>
        </w:rPr>
        <w:t>A</w:t>
      </w:r>
      <w:r w:rsidRPr="00D75829">
        <w:rPr>
          <w:rFonts w:ascii="Times New Roman" w:hAnsi="Times New Roman"/>
          <w:lang w:eastAsia="pl-PL"/>
        </w:rPr>
        <w:t xml:space="preserve"> także </w:t>
      </w:r>
      <w:r>
        <w:rPr>
          <w:rFonts w:ascii="Times New Roman" w:hAnsi="Times New Roman"/>
          <w:lang w:eastAsia="pl-PL"/>
        </w:rPr>
        <w:t>umożliwi to</w:t>
      </w:r>
      <w:r w:rsidRPr="00D75829">
        <w:rPr>
          <w:rFonts w:ascii="Times New Roman" w:hAnsi="Times New Roman"/>
          <w:lang w:eastAsia="pl-PL"/>
        </w:rPr>
        <w:t xml:space="preserve"> taką organizację obsługi obywateli przez samorząd, że dany interesant będzie mógł przyjść na określoną godzinę</w:t>
      </w:r>
      <w:r>
        <w:rPr>
          <w:rFonts w:ascii="Times New Roman" w:hAnsi="Times New Roman"/>
          <w:lang w:eastAsia="pl-PL"/>
        </w:rPr>
        <w:t>,</w:t>
      </w:r>
      <w:r w:rsidRPr="00D75829">
        <w:rPr>
          <w:rFonts w:ascii="Times New Roman" w:hAnsi="Times New Roman"/>
          <w:lang w:eastAsia="pl-PL"/>
        </w:rPr>
        <w:t xml:space="preserve"> w wyniku zgłoszenia wizyty w urzędzie np. przez </w:t>
      </w:r>
      <w:r>
        <w:rPr>
          <w:rFonts w:ascii="Times New Roman" w:hAnsi="Times New Roman"/>
          <w:lang w:eastAsia="pl-PL"/>
        </w:rPr>
        <w:t>I</w:t>
      </w:r>
      <w:r w:rsidRPr="00D75829">
        <w:rPr>
          <w:rFonts w:ascii="Times New Roman" w:hAnsi="Times New Roman"/>
          <w:lang w:eastAsia="pl-PL"/>
        </w:rPr>
        <w:t>nternet. Uzależnione to jednak będzie od podjęcia rozwiązań organizacyjnych w</w:t>
      </w:r>
      <w:r>
        <w:rPr>
          <w:rFonts w:ascii="Times New Roman" w:hAnsi="Times New Roman"/>
          <w:lang w:eastAsia="pl-PL"/>
        </w:rPr>
        <w:t> </w:t>
      </w:r>
      <w:r w:rsidRPr="00D75829">
        <w:rPr>
          <w:rFonts w:ascii="Times New Roman" w:hAnsi="Times New Roman"/>
          <w:lang w:eastAsia="pl-PL"/>
        </w:rPr>
        <w:t>samym urzędzie przez starostę lub prezydenta miasta na prawach powiatu.</w:t>
      </w:r>
    </w:p>
    <w:p w:rsidR="003B7E70" w:rsidRPr="00D75829"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W zaproponowanych przepisach określono również, że zaprojektowane przepisy wydłużające do 180 dni terminy określone w art. 71 ust. 7 i art. 78 ust. 2 pkt 1 ustawy </w:t>
      </w:r>
      <w:r>
        <w:rPr>
          <w:rFonts w:ascii="Times New Roman" w:hAnsi="Times New Roman"/>
          <w:lang w:eastAsia="pl-PL"/>
        </w:rPr>
        <w:t>– Prawo o ruchu drogowym</w:t>
      </w:r>
      <w:r w:rsidRPr="00D75829">
        <w:rPr>
          <w:rFonts w:ascii="Times New Roman" w:hAnsi="Times New Roman"/>
          <w:lang w:eastAsia="pl-PL"/>
        </w:rPr>
        <w:t xml:space="preserve"> będą miały zastosowanie:</w:t>
      </w:r>
    </w:p>
    <w:p w:rsidR="003B7E70" w:rsidRPr="00D75829" w:rsidRDefault="003B7E70" w:rsidP="003B7E70">
      <w:pPr>
        <w:pStyle w:val="Akapitzlist"/>
        <w:numPr>
          <w:ilvl w:val="0"/>
          <w:numId w:val="7"/>
        </w:numPr>
        <w:suppressAutoHyphens/>
        <w:autoSpaceDE w:val="0"/>
        <w:autoSpaceDN w:val="0"/>
        <w:adjustRightInd w:val="0"/>
        <w:spacing w:after="120" w:line="360" w:lineRule="auto"/>
        <w:jc w:val="both"/>
        <w:rPr>
          <w:rFonts w:ascii="Times New Roman" w:hAnsi="Times New Roman"/>
          <w:lang w:eastAsia="pl-PL"/>
        </w:rPr>
      </w:pPr>
      <w:r w:rsidRPr="00D75829">
        <w:rPr>
          <w:rFonts w:ascii="Times New Roman" w:hAnsi="Times New Roman"/>
          <w:lang w:eastAsia="pl-PL"/>
        </w:rPr>
        <w:t xml:space="preserve">do pojazdu, niebędącego nowym pojazdem, sprowadzonego z terytorium państwa członkowskiego Unii Europejskiej nie później niż 30 dni przed dniem wejścia w życie </w:t>
      </w:r>
      <w:r>
        <w:rPr>
          <w:rFonts w:ascii="Times New Roman" w:hAnsi="Times New Roman"/>
          <w:lang w:eastAsia="pl-PL"/>
        </w:rPr>
        <w:t>ustawy nowelizującej specustawę,</w:t>
      </w:r>
    </w:p>
    <w:p w:rsidR="003B7E70" w:rsidRPr="00D75829" w:rsidRDefault="003B7E70" w:rsidP="003B7E70">
      <w:pPr>
        <w:pStyle w:val="Akapitzlist"/>
        <w:numPr>
          <w:ilvl w:val="0"/>
          <w:numId w:val="7"/>
        </w:numPr>
        <w:suppressAutoHyphens/>
        <w:autoSpaceDE w:val="0"/>
        <w:autoSpaceDN w:val="0"/>
        <w:adjustRightInd w:val="0"/>
        <w:spacing w:after="120" w:line="360" w:lineRule="auto"/>
        <w:jc w:val="both"/>
        <w:rPr>
          <w:rFonts w:ascii="Times New Roman" w:hAnsi="Times New Roman"/>
          <w:lang w:eastAsia="pl-PL"/>
        </w:rPr>
      </w:pPr>
      <w:r w:rsidRPr="00D75829">
        <w:rPr>
          <w:rFonts w:ascii="Times New Roman" w:hAnsi="Times New Roman"/>
          <w:lang w:eastAsia="pl-PL"/>
        </w:rPr>
        <w:t>do pojazdu zarejestrowanego nabytego lub zbytego nie później niż 30 dni przed dniem wejścia w</w:t>
      </w:r>
      <w:r>
        <w:rPr>
          <w:rFonts w:ascii="Times New Roman" w:hAnsi="Times New Roman"/>
          <w:lang w:eastAsia="pl-PL"/>
        </w:rPr>
        <w:t> </w:t>
      </w:r>
      <w:r w:rsidRPr="00D75829">
        <w:rPr>
          <w:rFonts w:ascii="Times New Roman" w:hAnsi="Times New Roman"/>
          <w:lang w:eastAsia="pl-PL"/>
        </w:rPr>
        <w:t xml:space="preserve">życie </w:t>
      </w:r>
      <w:r w:rsidRPr="00A723E6">
        <w:rPr>
          <w:rFonts w:ascii="Times New Roman" w:hAnsi="Times New Roman"/>
          <w:lang w:eastAsia="pl-PL"/>
        </w:rPr>
        <w:t>ustawy nowelizującej specustaw</w:t>
      </w:r>
      <w:r>
        <w:rPr>
          <w:rFonts w:ascii="Times New Roman" w:hAnsi="Times New Roman"/>
          <w:lang w:eastAsia="pl-PL"/>
        </w:rPr>
        <w:t>ę.</w:t>
      </w:r>
    </w:p>
    <w:p w:rsidR="003B7E70" w:rsidRDefault="003B7E70" w:rsidP="003B7E70">
      <w:pPr>
        <w:pStyle w:val="Akapitzlist"/>
        <w:suppressAutoHyphens/>
        <w:autoSpaceDE w:val="0"/>
        <w:autoSpaceDN w:val="0"/>
        <w:adjustRightInd w:val="0"/>
        <w:spacing w:after="120" w:line="360" w:lineRule="auto"/>
        <w:ind w:left="0"/>
        <w:jc w:val="both"/>
        <w:rPr>
          <w:rFonts w:ascii="Times New Roman" w:hAnsi="Times New Roman"/>
          <w:lang w:eastAsia="pl-PL"/>
        </w:rPr>
      </w:pPr>
      <w:r w:rsidRPr="00D75829">
        <w:rPr>
          <w:rFonts w:ascii="Times New Roman" w:hAnsi="Times New Roman"/>
          <w:lang w:eastAsia="pl-PL"/>
        </w:rPr>
        <w:t xml:space="preserve">Powyższe pozwoli na takie traktowanie ww. przypadków, że jeszcze przed dniem wejścia w życie </w:t>
      </w:r>
      <w:r w:rsidRPr="00A723E6">
        <w:rPr>
          <w:rFonts w:ascii="Times New Roman" w:hAnsi="Times New Roman"/>
          <w:lang w:eastAsia="pl-PL"/>
        </w:rPr>
        <w:t>ustawy nowelizującej specustawę,</w:t>
      </w:r>
      <w:r w:rsidRPr="00D75829">
        <w:rPr>
          <w:rFonts w:ascii="Times New Roman" w:hAnsi="Times New Roman"/>
          <w:lang w:eastAsia="pl-PL"/>
        </w:rPr>
        <w:t xml:space="preserve"> właściciele pojazdów, którzy w okresie 30 dni nie wykonali omawianego obowiązku rejestracji pojazdu albo zawiadomienia o nabyciu lub zbyciu pojazdu będą </w:t>
      </w:r>
      <w:r w:rsidRPr="00D75829">
        <w:rPr>
          <w:rFonts w:ascii="Times New Roman" w:hAnsi="Times New Roman"/>
          <w:lang w:eastAsia="pl-PL"/>
        </w:rPr>
        <w:lastRenderedPageBreak/>
        <w:t xml:space="preserve">korzystać z wydłużonego do 180 dni terminu określonego w art. 71 ust. 7 i art. 78 ust. 2 pkt 1 </w:t>
      </w:r>
      <w:r w:rsidRPr="00A723E6">
        <w:rPr>
          <w:rFonts w:ascii="Times New Roman" w:hAnsi="Times New Roman"/>
          <w:lang w:eastAsia="pl-PL"/>
        </w:rPr>
        <w:t>ustawy – Prawo o ruchu drogowym</w:t>
      </w:r>
      <w:r w:rsidRPr="00D75829">
        <w:rPr>
          <w:rFonts w:ascii="Times New Roman" w:hAnsi="Times New Roman"/>
          <w:lang w:eastAsia="pl-PL"/>
        </w:rPr>
        <w:t>.</w:t>
      </w:r>
    </w:p>
    <w:p w:rsidR="003B7E70" w:rsidRDefault="003B7E70" w:rsidP="003B7E70">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kredytów dla przedsiębiorców:</w:t>
      </w:r>
    </w:p>
    <w:p w:rsidR="003B7E70" w:rsidRDefault="003B7E70" w:rsidP="003B7E70">
      <w:pPr>
        <w:suppressAutoHyphens/>
        <w:autoSpaceDE w:val="0"/>
        <w:autoSpaceDN w:val="0"/>
        <w:adjustRightInd w:val="0"/>
        <w:spacing w:after="120" w:line="360" w:lineRule="auto"/>
        <w:jc w:val="both"/>
        <w:rPr>
          <w:rFonts w:ascii="Times New Roman" w:hAnsi="Times New Roman"/>
          <w:lang w:eastAsia="pl-PL"/>
        </w:rPr>
      </w:pPr>
      <w:r w:rsidRPr="00DB07EB">
        <w:rPr>
          <w:rFonts w:ascii="Times New Roman" w:hAnsi="Times New Roman"/>
          <w:lang w:eastAsia="pl-PL"/>
        </w:rPr>
        <w:t xml:space="preserve">Kredyty dla przedsiębiorców na działalność gospodarczą dotkniętych skutkami </w:t>
      </w:r>
      <w:r>
        <w:rPr>
          <w:rFonts w:ascii="Times New Roman" w:hAnsi="Times New Roman"/>
          <w:lang w:eastAsia="pl-PL"/>
        </w:rPr>
        <w:t>COVID-19</w:t>
      </w:r>
      <w:r w:rsidRPr="00DB07EB">
        <w:rPr>
          <w:rFonts w:ascii="Times New Roman" w:hAnsi="Times New Roman"/>
          <w:lang w:eastAsia="pl-PL"/>
        </w:rPr>
        <w:t xml:space="preserve"> mogą stanowić istotne źródło zapewnienia płynności finansowej i możliwości inwestycyjnych. Obniżenie podstawy opodatkowania dla banków o wartość aktyw</w:t>
      </w:r>
      <w:r>
        <w:rPr>
          <w:rFonts w:ascii="Times New Roman" w:hAnsi="Times New Roman"/>
          <w:lang w:eastAsia="pl-PL"/>
        </w:rPr>
        <w:t>ów wynikających z umowy kredytu</w:t>
      </w:r>
      <w:r w:rsidRPr="00DB07EB">
        <w:rPr>
          <w:rFonts w:ascii="Times New Roman" w:hAnsi="Times New Roman"/>
          <w:lang w:eastAsia="pl-PL"/>
        </w:rPr>
        <w:t xml:space="preserve"> będzie miało pozytywny wpływ na dostępność i koszt źródeł finansowania dla przedsiębiorców, co jest pożądane w obliczu nieprzewidywalności skutków gospodarczych wynikłych z ograniczeń działalności będących następstwem </w:t>
      </w:r>
      <w:r>
        <w:rPr>
          <w:rFonts w:ascii="Times New Roman" w:hAnsi="Times New Roman"/>
          <w:lang w:eastAsia="pl-PL"/>
        </w:rPr>
        <w:t>COVID-19.</w:t>
      </w:r>
    </w:p>
    <w:p w:rsidR="004827F7" w:rsidRDefault="004827F7" w:rsidP="004827F7">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wniesienia sprzeciwu wobec zgłoszenia znaku towarowego:</w:t>
      </w:r>
    </w:p>
    <w:p w:rsidR="004827F7" w:rsidRPr="00D101FB" w:rsidRDefault="004827F7" w:rsidP="004827F7">
      <w:pPr>
        <w:suppressAutoHyphens/>
        <w:autoSpaceDE w:val="0"/>
        <w:autoSpaceDN w:val="0"/>
        <w:adjustRightInd w:val="0"/>
        <w:spacing w:after="120" w:line="360" w:lineRule="auto"/>
        <w:jc w:val="both"/>
        <w:rPr>
          <w:rFonts w:ascii="Times New Roman" w:hAnsi="Times New Roman"/>
          <w:lang w:eastAsia="pl-PL"/>
        </w:rPr>
      </w:pPr>
      <w:r w:rsidRPr="00D101FB">
        <w:rPr>
          <w:rFonts w:ascii="Times New Roman" w:hAnsi="Times New Roman"/>
          <w:lang w:eastAsia="pl-PL"/>
        </w:rPr>
        <w:t>Projektowany przepis zakłada, że w okresie od dnia 8 marca do 30 czerwca 2020 r. bieg terminu na wniesienie sprzeciwu wobec zgłoszenia zna</w:t>
      </w:r>
      <w:r>
        <w:rPr>
          <w:rFonts w:ascii="Times New Roman" w:hAnsi="Times New Roman"/>
          <w:lang w:eastAsia="pl-PL"/>
        </w:rPr>
        <w:t xml:space="preserve">ku towarowego, o którym mowa w </w:t>
      </w:r>
      <w:r w:rsidRPr="00D101FB">
        <w:rPr>
          <w:rFonts w:ascii="Times New Roman" w:hAnsi="Times New Roman"/>
          <w:lang w:eastAsia="pl-PL"/>
        </w:rPr>
        <w:t>art. 152</w:t>
      </w:r>
      <w:r w:rsidRPr="00D101FB">
        <w:rPr>
          <w:rFonts w:ascii="Times New Roman" w:hAnsi="Times New Roman"/>
          <w:vertAlign w:val="superscript"/>
          <w:lang w:eastAsia="pl-PL"/>
        </w:rPr>
        <w:t xml:space="preserve">17 </w:t>
      </w:r>
      <w:r w:rsidRPr="00D101FB">
        <w:rPr>
          <w:rFonts w:ascii="Times New Roman" w:hAnsi="Times New Roman"/>
          <w:lang w:eastAsia="pl-PL"/>
        </w:rPr>
        <w:t xml:space="preserve">ustawy </w:t>
      </w:r>
      <w:r>
        <w:rPr>
          <w:rFonts w:ascii="Times New Roman" w:hAnsi="Times New Roman"/>
          <w:lang w:eastAsia="pl-PL"/>
        </w:rPr>
        <w:t>– Prawo własności przemysłowej,</w:t>
      </w:r>
      <w:r w:rsidRPr="00D101FB">
        <w:rPr>
          <w:rFonts w:ascii="Times New Roman" w:hAnsi="Times New Roman"/>
          <w:lang w:eastAsia="pl-PL"/>
        </w:rPr>
        <w:t xml:space="preserve"> oraz terminu na złożenie w Urzędzie Patentowym tłumaczenia patentu europejskiego na język polski, jak również terminu na złożenie tłumaczenia na język polski ograniczonego lub zmienionego patentu europejskiego, o których mowa w art. 6 ustawy o dokonywaniu europejskich zgłoszeń patentowych oraz skutkach patentu europejskiego w Rzeczypospolitej Polskiej</w:t>
      </w:r>
      <w:r>
        <w:rPr>
          <w:rFonts w:ascii="Times New Roman" w:hAnsi="Times New Roman"/>
          <w:lang w:eastAsia="pl-PL"/>
        </w:rPr>
        <w:t>,</w:t>
      </w:r>
      <w:r w:rsidRPr="00D101FB">
        <w:rPr>
          <w:rFonts w:ascii="Times New Roman" w:hAnsi="Times New Roman"/>
          <w:lang w:eastAsia="pl-PL"/>
        </w:rPr>
        <w:t xml:space="preserve"> nie rozpoczyna się, a rozpoczęty przerywa się. Terminy będą biec na nowo od dnia 1 lipca 2020 r.</w:t>
      </w:r>
    </w:p>
    <w:p w:rsidR="004827F7" w:rsidRDefault="004827F7" w:rsidP="003B7E70">
      <w:pPr>
        <w:suppressAutoHyphens/>
        <w:autoSpaceDE w:val="0"/>
        <w:autoSpaceDN w:val="0"/>
        <w:adjustRightInd w:val="0"/>
        <w:spacing w:after="120" w:line="360" w:lineRule="auto"/>
        <w:jc w:val="both"/>
        <w:rPr>
          <w:rFonts w:ascii="Times New Roman" w:hAnsi="Times New Roman"/>
          <w:lang w:eastAsia="pl-PL"/>
        </w:rPr>
      </w:pPr>
      <w:r w:rsidRPr="00D101FB">
        <w:rPr>
          <w:rFonts w:ascii="Times New Roman" w:hAnsi="Times New Roman"/>
          <w:lang w:eastAsia="pl-PL"/>
        </w:rPr>
        <w:t>Zauważyć należy, że przedmiotowe terminy mają charakter materialnoprawny, co oznacza, że ich upływ jest równoznaczny z utratą przez zainteresowane podmioty możliwości skorzystania z ww. uprawnień. Terminy te nie podlegają przywróceniu, ani przedłużeniu. Oznacza to, że bezskuteczny upływ terminu na wniesienie sprzeciwu wobec zgłoszenia znaku towarowego wyłącza możliwość obrony wcześniejszych praw w tym trybie. Inaczej mówi</w:t>
      </w:r>
      <w:r>
        <w:rPr>
          <w:rFonts w:ascii="Times New Roman" w:hAnsi="Times New Roman"/>
          <w:lang w:eastAsia="pl-PL"/>
        </w:rPr>
        <w:t>ąc, uprawniony z wcześniejszego</w:t>
      </w:r>
      <w:r w:rsidRPr="00D101FB">
        <w:rPr>
          <w:rFonts w:ascii="Times New Roman" w:hAnsi="Times New Roman"/>
          <w:lang w:eastAsia="pl-PL"/>
        </w:rPr>
        <w:t xml:space="preserve"> znaku towarowego, wcześniejszego prawa osobistego lub majątkowego, a także uprawniony do wykonywania praw wynikających z chronionej nazwy pochodzenia lub chronionego oznaczenia geograficznego, nie będzie miał możliwości sprzeciwienia się udzieleniu ochrony na zgłoszony znak towarowy. Natomiast niezłożenie w terminie tłumaczenia na język polski patentu europejskiego, lub też w przypadku późniejszej modyfikacji zakresu ochrony, patentu europejskieg</w:t>
      </w:r>
      <w:r>
        <w:rPr>
          <w:rFonts w:ascii="Times New Roman" w:hAnsi="Times New Roman"/>
          <w:lang w:eastAsia="pl-PL"/>
        </w:rPr>
        <w:t>o zmienionego lub ograniczonego</w:t>
      </w:r>
      <w:r w:rsidRPr="00D101FB">
        <w:rPr>
          <w:rFonts w:ascii="Times New Roman" w:hAnsi="Times New Roman"/>
          <w:lang w:eastAsia="pl-PL"/>
        </w:rPr>
        <w:t xml:space="preserve"> zamyka drogę do walidacji patentu europejskiego na teryt</w:t>
      </w:r>
      <w:r>
        <w:rPr>
          <w:rFonts w:ascii="Times New Roman" w:hAnsi="Times New Roman"/>
          <w:lang w:eastAsia="pl-PL"/>
        </w:rPr>
        <w:t xml:space="preserve">orium Rzeczypospolitej Polskiej. To </w:t>
      </w:r>
      <w:r w:rsidRPr="00D101FB">
        <w:rPr>
          <w:rFonts w:ascii="Times New Roman" w:hAnsi="Times New Roman"/>
          <w:lang w:eastAsia="pl-PL"/>
        </w:rPr>
        <w:t>z kolei jest równoznaczne z brakiem ochrony patentowej na terytorium Rzeczypospolitej Polskiej. Bezspornie przedmiotowe uprawnienia mają istotne znaczen</w:t>
      </w:r>
      <w:r>
        <w:rPr>
          <w:rFonts w:ascii="Times New Roman" w:hAnsi="Times New Roman"/>
          <w:lang w:eastAsia="pl-PL"/>
        </w:rPr>
        <w:t>ie dla przedsiębiorców, w tym w </w:t>
      </w:r>
      <w:r w:rsidRPr="00D101FB">
        <w:rPr>
          <w:rFonts w:ascii="Times New Roman" w:hAnsi="Times New Roman"/>
          <w:lang w:eastAsia="pl-PL"/>
        </w:rPr>
        <w:t>szczególności dla budowania ich strategii biznesowej, jak również pewności obrotu gospodarczego, co ma szczególne znaczenie w aktualnej wyjątkowej sytuacji społeczno-gospodarczej. Tym samym konieczne jest wprowadzenie regulacji, które w jednoznaczny i niebudz</w:t>
      </w:r>
      <w:r>
        <w:rPr>
          <w:rFonts w:ascii="Times New Roman" w:hAnsi="Times New Roman"/>
          <w:lang w:eastAsia="pl-PL"/>
        </w:rPr>
        <w:t>ący wątpliwości sposób przesądza</w:t>
      </w:r>
      <w:r w:rsidRPr="00D101FB">
        <w:rPr>
          <w:rFonts w:ascii="Times New Roman" w:hAnsi="Times New Roman"/>
          <w:lang w:eastAsia="pl-PL"/>
        </w:rPr>
        <w:t xml:space="preserve">, </w:t>
      </w:r>
      <w:r>
        <w:rPr>
          <w:rFonts w:ascii="Times New Roman" w:hAnsi="Times New Roman"/>
          <w:lang w:eastAsia="pl-PL"/>
        </w:rPr>
        <w:t>że</w:t>
      </w:r>
      <w:r w:rsidRPr="00D101FB">
        <w:rPr>
          <w:rFonts w:ascii="Times New Roman" w:hAnsi="Times New Roman"/>
          <w:lang w:eastAsia="pl-PL"/>
        </w:rPr>
        <w:t xml:space="preserve"> ich bieg w okresie 8 marca do 30 czerwca 2020 r. nie rozpocznie się albo ulegnie </w:t>
      </w:r>
      <w:r w:rsidRPr="00D101FB">
        <w:rPr>
          <w:rFonts w:ascii="Times New Roman" w:hAnsi="Times New Roman"/>
          <w:lang w:eastAsia="pl-PL"/>
        </w:rPr>
        <w:lastRenderedPageBreak/>
        <w:t xml:space="preserve">przerwaniu. Jednocześnie projektowany zapis dopuszcza możliwość podejmowania przez zainteresowane podmioty działań we wskazanym </w:t>
      </w:r>
      <w:r>
        <w:rPr>
          <w:rFonts w:ascii="Times New Roman" w:hAnsi="Times New Roman"/>
          <w:lang w:eastAsia="pl-PL"/>
        </w:rPr>
        <w:t xml:space="preserve">wyżej </w:t>
      </w:r>
      <w:r w:rsidRPr="00D101FB">
        <w:rPr>
          <w:rFonts w:ascii="Times New Roman" w:hAnsi="Times New Roman"/>
          <w:lang w:eastAsia="pl-PL"/>
        </w:rPr>
        <w:t>okresie</w:t>
      </w:r>
      <w:r>
        <w:rPr>
          <w:rFonts w:ascii="Times New Roman" w:hAnsi="Times New Roman"/>
          <w:lang w:eastAsia="pl-PL"/>
        </w:rPr>
        <w:t>.</w:t>
      </w:r>
      <w:r w:rsidRPr="00D101FB">
        <w:rPr>
          <w:rFonts w:ascii="Times New Roman" w:hAnsi="Times New Roman"/>
          <w:lang w:eastAsia="pl-PL"/>
        </w:rPr>
        <w:t xml:space="preserve"> Tym samym projektowany przepis uwzględnia potrzeby działających na rynku podmiotów, gdyż usuwa ryzyko wystąpienia negatywnych skutków upływu terminów</w:t>
      </w:r>
      <w:r>
        <w:rPr>
          <w:rFonts w:ascii="Times New Roman" w:hAnsi="Times New Roman"/>
          <w:lang w:eastAsia="pl-PL"/>
        </w:rPr>
        <w:t>,</w:t>
      </w:r>
      <w:r w:rsidRPr="00D101FB">
        <w:rPr>
          <w:rFonts w:ascii="Times New Roman" w:hAnsi="Times New Roman"/>
          <w:lang w:eastAsia="pl-PL"/>
        </w:rPr>
        <w:t xml:space="preserve"> nie wyłączając uprawnienia do podejmowania działań w tym zakresie.</w:t>
      </w:r>
    </w:p>
    <w:p w:rsidR="004827F7" w:rsidRDefault="004827F7" w:rsidP="004827F7">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orzeczeń lekarskich służb mundurowych:</w:t>
      </w:r>
    </w:p>
    <w:p w:rsidR="004827F7" w:rsidRPr="00FD069F" w:rsidRDefault="004827F7" w:rsidP="004827F7">
      <w:pPr>
        <w:pStyle w:val="Akapitzlist"/>
        <w:suppressAutoHyphens/>
        <w:autoSpaceDE w:val="0"/>
        <w:autoSpaceDN w:val="0"/>
        <w:adjustRightInd w:val="0"/>
        <w:spacing w:after="120" w:line="360" w:lineRule="auto"/>
        <w:ind w:left="0"/>
        <w:jc w:val="both"/>
        <w:rPr>
          <w:rFonts w:ascii="Times New Roman" w:hAnsi="Times New Roman"/>
          <w:lang w:eastAsia="pl-PL"/>
        </w:rPr>
      </w:pPr>
      <w:r>
        <w:rPr>
          <w:rFonts w:ascii="Times New Roman" w:hAnsi="Times New Roman"/>
          <w:lang w:eastAsia="pl-PL"/>
        </w:rPr>
        <w:t>Proponuje się dodać przepis,</w:t>
      </w:r>
      <w:r w:rsidRPr="0039065F">
        <w:rPr>
          <w:rFonts w:ascii="Times New Roman" w:hAnsi="Times New Roman"/>
          <w:lang w:eastAsia="pl-PL"/>
        </w:rPr>
        <w:t xml:space="preserve"> zgodnie z którym orzeczenia lekarskie stwierdzające brak przeciwwskazań zdrowotnych do służby na określonym stanowisku służbowym wydawane policjantom, funkcjonariuszom Straży Granicznej oraz Służby Ochrony Państwa po przeprowadzeniu badań okresowych i kontrolnych zgodnie z art. 71b ust. 10 pkt 1 ustawy o Policji, art. 75c ust. 8 pkt 1 ustawy o Straży Granicznej, art. 42 ust. 1a ustawy o Państwowej Straży Pożarnej oraz art. 135 ust. 10 pkt 1 ustawy o Służbie Ochrony Państwa zachowają ważność w okresie 60 dni od dnia odwołania stanu zagrożenia epidemicznego lub stanu epidemii.</w:t>
      </w:r>
    </w:p>
    <w:p w:rsidR="004827F7" w:rsidRDefault="004827F7" w:rsidP="004827F7">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4827F7">
        <w:rPr>
          <w:rFonts w:ascii="Times New Roman" w:hAnsi="Times New Roman"/>
          <w:b/>
          <w:lang w:eastAsia="pl-PL"/>
        </w:rPr>
        <w:t>Wydłużenie terminu na przystąpienie do części ustnej egzaminu na doradców podatkowych</w:t>
      </w:r>
      <w:r>
        <w:rPr>
          <w:rFonts w:ascii="Times New Roman" w:hAnsi="Times New Roman"/>
          <w:b/>
          <w:lang w:eastAsia="pl-PL"/>
        </w:rPr>
        <w:t>:</w:t>
      </w:r>
    </w:p>
    <w:p w:rsidR="004827F7" w:rsidRP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Zgodnie z art. 24 ust. 1 i 2-4 ustawy o doradztwie podatkowym, egzamin</w:t>
      </w:r>
      <w:r>
        <w:rPr>
          <w:rFonts w:ascii="Times New Roman" w:hAnsi="Times New Roman"/>
          <w:lang w:eastAsia="pl-PL"/>
        </w:rPr>
        <w:t xml:space="preserve"> składa się z części pisemnej i </w:t>
      </w:r>
      <w:r w:rsidRPr="004827F7">
        <w:rPr>
          <w:rFonts w:ascii="Times New Roman" w:hAnsi="Times New Roman"/>
          <w:lang w:eastAsia="pl-PL"/>
        </w:rPr>
        <w:t>ustnej. Warunkiem przystąpienia do części ustnej jest zdanie z wynikiem pozytywnym części pisemnej. Kandydat może przystępować do części ustnej w okresie roku od dnia przystąpienia do części pisemnej egzaminu.</w:t>
      </w:r>
    </w:p>
    <w:p w:rsidR="004827F7" w:rsidRP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 xml:space="preserve">W marcu </w:t>
      </w:r>
      <w:r>
        <w:rPr>
          <w:rFonts w:ascii="Times New Roman" w:hAnsi="Times New Roman"/>
          <w:lang w:eastAsia="pl-PL"/>
        </w:rPr>
        <w:t>2020 r.</w:t>
      </w:r>
      <w:r w:rsidRPr="004827F7">
        <w:rPr>
          <w:rFonts w:ascii="Times New Roman" w:hAnsi="Times New Roman"/>
          <w:lang w:eastAsia="pl-PL"/>
        </w:rPr>
        <w:t xml:space="preserve"> do części ustnej przeprowadzanej w dniach od 9 do 20 marca </w:t>
      </w:r>
      <w:r>
        <w:rPr>
          <w:rFonts w:ascii="Times New Roman" w:hAnsi="Times New Roman"/>
          <w:lang w:eastAsia="pl-PL"/>
        </w:rPr>
        <w:t>2020 r.</w:t>
      </w:r>
      <w:r w:rsidRPr="004827F7">
        <w:rPr>
          <w:rFonts w:ascii="Times New Roman" w:hAnsi="Times New Roman"/>
          <w:lang w:eastAsia="pl-PL"/>
        </w:rPr>
        <w:t xml:space="preserve"> zostali zakwalifikowani i mieli  podejść  kandydaci, którym kończy się rok przeznaczony na zdanie egzaminu. Na mocy § 1 rozporządzenia Ministra Zdrowia z dnia 13 marca 2020 r. w sprawie ogłoszenia na obszarze Rzeczypospolitej Polskiej stanu zagrożenia epidemicznego został wprowadzony w naszym kraju stan epidemiczny, od dnia 14</w:t>
      </w:r>
      <w:r>
        <w:rPr>
          <w:rFonts w:ascii="Times New Roman" w:hAnsi="Times New Roman"/>
          <w:lang w:eastAsia="pl-PL"/>
        </w:rPr>
        <w:t xml:space="preserve"> marca 2020 r. -  do odwołania.</w:t>
      </w:r>
    </w:p>
    <w:p w:rsidR="004827F7" w:rsidRP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 xml:space="preserve">W związku z powyższym, została podjęta decyzja o zawieszeniu egzaminów ustnych na doradcę podatkowego, które miały zostać przeprowadzone od dnia 16 marca do 20 marca 2020 r. Oznacza to de facto, że kandydaci, którzy zostali zakwalifikowani do części ustnej egzaminu, a którym upływa rok na zdanie egzaminu, zostaliby pozbawieni możliwości podejścia do egzaminu, co oznaczałoby przekreślenie procedury egzaminacyjnej, w której uczestniczą. </w:t>
      </w:r>
    </w:p>
    <w:p w:rsidR="004827F7" w:rsidRDefault="004827F7" w:rsidP="004827F7">
      <w:pPr>
        <w:suppressAutoHyphens/>
        <w:autoSpaceDE w:val="0"/>
        <w:autoSpaceDN w:val="0"/>
        <w:adjustRightInd w:val="0"/>
        <w:spacing w:after="120" w:line="360" w:lineRule="auto"/>
        <w:jc w:val="both"/>
        <w:rPr>
          <w:rFonts w:ascii="Times New Roman" w:hAnsi="Times New Roman"/>
          <w:lang w:eastAsia="pl-PL"/>
        </w:rPr>
      </w:pPr>
      <w:r w:rsidRPr="004827F7">
        <w:rPr>
          <w:rFonts w:ascii="Times New Roman" w:hAnsi="Times New Roman"/>
          <w:lang w:eastAsia="pl-PL"/>
        </w:rPr>
        <w:t>Zmiana będzie dotyczyła wszystkich osób, którym upływa w marcu rok i które nie przystąpiły do części ustnej egzaminu w marcu 2020</w:t>
      </w:r>
      <w:r>
        <w:rPr>
          <w:rFonts w:ascii="Times New Roman" w:hAnsi="Times New Roman"/>
          <w:lang w:eastAsia="pl-PL"/>
        </w:rPr>
        <w:t xml:space="preserve"> </w:t>
      </w:r>
      <w:r w:rsidRPr="004827F7">
        <w:rPr>
          <w:rFonts w:ascii="Times New Roman" w:hAnsi="Times New Roman"/>
          <w:lang w:eastAsia="pl-PL"/>
        </w:rPr>
        <w:t xml:space="preserve">r., niezależnie od momentu odwołania tych egzaminów, zatem pozwoli na skorzystanie z jednokrotnego prawa podejścia do części ustnej egzaminu osobom, które nie stawiły się na egzaminie w tygodniu, w którym egzaminy zostały zawieszone, jak również w tygodniu, w którym został ogłoszony stan epidemiczny. Zmiana dotyczy maksymalnie 160 osób i nie spowoduje negatywnych skutków dla budżetu państwa. Kandydaci uiszczają opłatę za egzamin, przed rozpoczęciem rocznej procedury egzaminacyjnej (900 zł) lub w przypadku gdy jest to egzamin </w:t>
      </w:r>
      <w:r w:rsidRPr="004827F7">
        <w:rPr>
          <w:rFonts w:ascii="Times New Roman" w:hAnsi="Times New Roman"/>
          <w:lang w:eastAsia="pl-PL"/>
        </w:rPr>
        <w:lastRenderedPageBreak/>
        <w:t>„poprawkowy” (w wysokości 600 zł). Kandydatom zostanie wyznaczony dodatkowy termin tej części egzaminu w terminie 4 miesięcy od dnia wejścia w życie ustawy . Zmiana pozostanie bez wpływu na rynek pracy i sytuację przedsiębiorców.</w:t>
      </w:r>
    </w:p>
    <w:p w:rsidR="00FC7841" w:rsidRDefault="00FC784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w zakresie badań lekarskich:</w:t>
      </w:r>
    </w:p>
    <w:p w:rsidR="00FC7841" w:rsidRDefault="00FC7841" w:rsidP="004827F7">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Dodaje się przepis przejściowy, który</w:t>
      </w:r>
      <w:r w:rsidRPr="007C1944">
        <w:rPr>
          <w:rFonts w:ascii="Times New Roman" w:hAnsi="Times New Roman"/>
          <w:lang w:eastAsia="pl-PL"/>
        </w:rPr>
        <w:t xml:space="preserve"> zachowuje w mocy orzeczenia lekarskie wydane na podstawie zawieszanych przepisów</w:t>
      </w:r>
      <w:r>
        <w:rPr>
          <w:rFonts w:ascii="Times New Roman" w:hAnsi="Times New Roman"/>
          <w:lang w:eastAsia="pl-PL"/>
        </w:rPr>
        <w:t xml:space="preserve">, </w:t>
      </w:r>
      <w:r w:rsidRPr="007C1944">
        <w:rPr>
          <w:rFonts w:ascii="Times New Roman" w:hAnsi="Times New Roman"/>
          <w:lang w:eastAsia="pl-PL"/>
        </w:rPr>
        <w:t xml:space="preserve">stanowiąc, że orzeczenia lekarskie wydane w ramach badań lekarskich, przeprowadzonych na </w:t>
      </w:r>
      <w:r>
        <w:rPr>
          <w:rFonts w:ascii="Times New Roman" w:hAnsi="Times New Roman"/>
          <w:lang w:eastAsia="pl-PL"/>
        </w:rPr>
        <w:t>podstawie przepisów</w:t>
      </w:r>
      <w:r w:rsidRPr="007C1944">
        <w:rPr>
          <w:rFonts w:ascii="Times New Roman" w:hAnsi="Times New Roman"/>
          <w:lang w:eastAsia="pl-PL"/>
        </w:rPr>
        <w:t xml:space="preserve"> art. 229 § 2 zdanie pierwsze i § 4 - 5 ustawy </w:t>
      </w:r>
      <w:r>
        <w:rPr>
          <w:rFonts w:ascii="Times New Roman" w:hAnsi="Times New Roman"/>
          <w:lang w:eastAsia="pl-PL"/>
        </w:rPr>
        <w:t xml:space="preserve">- </w:t>
      </w:r>
      <w:r w:rsidRPr="007C1944">
        <w:rPr>
          <w:rFonts w:ascii="Times New Roman" w:hAnsi="Times New Roman"/>
          <w:lang w:eastAsia="pl-PL"/>
        </w:rPr>
        <w:t>Kodeks pracy oraz art. 39j i 39k ustawy o transporcie d</w:t>
      </w:r>
      <w:r>
        <w:rPr>
          <w:rFonts w:ascii="Times New Roman" w:hAnsi="Times New Roman"/>
          <w:lang w:eastAsia="pl-PL"/>
        </w:rPr>
        <w:t>rogowym, których</w:t>
      </w:r>
      <w:r w:rsidRPr="007C1944">
        <w:rPr>
          <w:rFonts w:ascii="Times New Roman" w:hAnsi="Times New Roman"/>
          <w:lang w:eastAsia="pl-PL"/>
        </w:rPr>
        <w:t xml:space="preserve"> ważność skończyła po dniu 7 marca w 2020 r, w przypadku ogłoszenia stanu zagrożenia epidemicznego lub stanu epidemii, zachowują ważność nie dłużej jednak niż do upływu 60 dni od dnia zniesienia danego stanu.</w:t>
      </w:r>
    </w:p>
    <w:p w:rsidR="00FC7841" w:rsidRDefault="00FC784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terminu podziału rezerw celowych w 2020 r.:</w:t>
      </w:r>
    </w:p>
    <w:p w:rsidR="00FC7841" w:rsidRDefault="00FC7841" w:rsidP="004827F7">
      <w:pPr>
        <w:suppressAutoHyphens/>
        <w:autoSpaceDE w:val="0"/>
        <w:autoSpaceDN w:val="0"/>
        <w:adjustRightInd w:val="0"/>
        <w:spacing w:after="120" w:line="360" w:lineRule="auto"/>
        <w:jc w:val="both"/>
        <w:rPr>
          <w:rFonts w:ascii="Times New Roman" w:hAnsi="Times New Roman"/>
          <w:sz w:val="24"/>
          <w:szCs w:val="24"/>
        </w:rPr>
      </w:pPr>
      <w:r w:rsidRPr="00982F3C">
        <w:rPr>
          <w:rFonts w:ascii="Times New Roman" w:hAnsi="Times New Roman"/>
          <w:sz w:val="24"/>
          <w:szCs w:val="24"/>
        </w:rPr>
        <w:t xml:space="preserve">Zgodnie z art. 154 ust. 1 ustawy z dnia 27 sierpnia 2009 r. o finansach publicznych, podziału rezerw celowych dokonuje, z zastrzeżeniem ust. 3–6, Minister Finansów w porozumieniu z właściwymi ministrami lub innymi dysponentami części budżetowych, nie później niż do dnia 15 października, z wyjątkiem rezerw, o których mowa w art. 140 ust. 2 pkt 2 i 3, oraz rezerw przeznaczonych na finansowanie zobowiązań Skarbu Państwa i rezerw przeznaczonych na przeciwdziałanie klęskom żywiołowym i usuwanie ich skutków. Projektowana regulacja ma na celu modyfikację terminu, w którym może nastąpić podział rezerw celowych – tj. w roku 2020 podział rezerw celowych może być dokonywany </w:t>
      </w:r>
      <w:r>
        <w:rPr>
          <w:rFonts w:ascii="Times New Roman" w:hAnsi="Times New Roman"/>
          <w:sz w:val="24"/>
          <w:szCs w:val="24"/>
        </w:rPr>
        <w:t>w </w:t>
      </w:r>
      <w:r w:rsidRPr="00982F3C">
        <w:rPr>
          <w:rFonts w:ascii="Times New Roman" w:hAnsi="Times New Roman"/>
          <w:sz w:val="24"/>
          <w:szCs w:val="24"/>
        </w:rPr>
        <w:t>terminie do dnia 31 grudnia 2020 r., a nie zaś do dnia 15 października.</w:t>
      </w:r>
    </w:p>
    <w:p w:rsidR="00FC7841" w:rsidRDefault="00FC784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Przekazywanie rezerw celowych na zadania związane z COVID-19:</w:t>
      </w:r>
    </w:p>
    <w:p w:rsidR="00FC7841" w:rsidRDefault="00FC7841" w:rsidP="00FC7841">
      <w:pPr>
        <w:suppressAutoHyphens/>
        <w:autoSpaceDE w:val="0"/>
        <w:autoSpaceDN w:val="0"/>
        <w:adjustRightInd w:val="0"/>
        <w:spacing w:after="120" w:line="360" w:lineRule="auto"/>
        <w:jc w:val="both"/>
        <w:rPr>
          <w:rFonts w:ascii="Times New Roman" w:hAnsi="Times New Roman"/>
          <w:szCs w:val="24"/>
        </w:rPr>
      </w:pPr>
      <w:r w:rsidRPr="00CD7731">
        <w:rPr>
          <w:rFonts w:ascii="Times New Roman" w:hAnsi="Times New Roman"/>
          <w:szCs w:val="24"/>
        </w:rPr>
        <w:t>Projektowane przepisy ma na celu umożliwienie przekazywania środków ujętych w rez</w:t>
      </w:r>
      <w:r>
        <w:rPr>
          <w:rFonts w:ascii="Times New Roman" w:hAnsi="Times New Roman"/>
          <w:szCs w:val="24"/>
        </w:rPr>
        <w:t xml:space="preserve">erwach celowych budżetu państwa w roku 2020 </w:t>
      </w:r>
      <w:r w:rsidRPr="00CD7731">
        <w:rPr>
          <w:rFonts w:ascii="Times New Roman" w:hAnsi="Times New Roman"/>
          <w:szCs w:val="24"/>
        </w:rPr>
        <w:t xml:space="preserve">na realizację zadań związanych z przeciwdziałaniem COVID-19, niezależnie od przeznaczenia rezerw. Dokonanie podziału rezerwy celowej na realizację tych zadań, wówczas nie będzie wiązało się z koniecznością zmiany przeznaczenia rezerwy. </w:t>
      </w:r>
      <w:r>
        <w:rPr>
          <w:rFonts w:ascii="Times New Roman" w:hAnsi="Times New Roman"/>
          <w:szCs w:val="24"/>
        </w:rPr>
        <w:t>W </w:t>
      </w:r>
      <w:r w:rsidRPr="00CD7731">
        <w:rPr>
          <w:rFonts w:ascii="Times New Roman" w:hAnsi="Times New Roman"/>
          <w:szCs w:val="24"/>
        </w:rPr>
        <w:t>omawianym przypadku, podziału rezerwy celowej na wniosek właściwego dysponenta realizującego zadanie związane z przeciwdziałaniem COVID-19 dokonywał będzie Minister Finansów za zgodą Prezesa Rady Ministrów.</w:t>
      </w:r>
    </w:p>
    <w:p w:rsidR="00FC7841" w:rsidRPr="00FC7841" w:rsidRDefault="00FC7841" w:rsidP="004827F7">
      <w:pPr>
        <w:suppressAutoHyphens/>
        <w:autoSpaceDE w:val="0"/>
        <w:autoSpaceDN w:val="0"/>
        <w:adjustRightInd w:val="0"/>
        <w:spacing w:after="120" w:line="360" w:lineRule="auto"/>
        <w:jc w:val="both"/>
        <w:rPr>
          <w:rFonts w:ascii="Times New Roman" w:hAnsi="Times New Roman"/>
          <w:lang w:eastAsia="pl-PL"/>
        </w:rPr>
      </w:pPr>
      <w:r w:rsidRPr="00CD7731">
        <w:rPr>
          <w:rFonts w:ascii="Times New Roman" w:hAnsi="Times New Roman"/>
          <w:lang w:eastAsia="pl-PL"/>
        </w:rPr>
        <w:t>Zaproponowano</w:t>
      </w:r>
      <w:r>
        <w:rPr>
          <w:rFonts w:ascii="Times New Roman" w:hAnsi="Times New Roman"/>
          <w:lang w:eastAsia="pl-PL"/>
        </w:rPr>
        <w:t xml:space="preserve"> również</w:t>
      </w:r>
      <w:r w:rsidRPr="00CD7731">
        <w:rPr>
          <w:rFonts w:ascii="Times New Roman" w:hAnsi="Times New Roman"/>
          <w:lang w:eastAsia="pl-PL"/>
        </w:rPr>
        <w:t>, że w przypadku realizacji przez samorządowy zakład budżetowy zadań związanych z przeciwdziałaniem COVID-19, zawiesi w 2020 r. ograniczenie dot</w:t>
      </w:r>
      <w:r>
        <w:rPr>
          <w:rFonts w:ascii="Times New Roman" w:hAnsi="Times New Roman"/>
          <w:lang w:eastAsia="pl-PL"/>
        </w:rPr>
        <w:t>yczące dotacji przekazywanych z </w:t>
      </w:r>
      <w:r w:rsidRPr="00CD7731">
        <w:rPr>
          <w:rFonts w:ascii="Times New Roman" w:hAnsi="Times New Roman"/>
          <w:lang w:eastAsia="pl-PL"/>
        </w:rPr>
        <w:t xml:space="preserve">budżetu </w:t>
      </w:r>
      <w:r>
        <w:rPr>
          <w:rFonts w:ascii="Times New Roman" w:hAnsi="Times New Roman"/>
          <w:lang w:eastAsia="pl-PL"/>
        </w:rPr>
        <w:t>jednostek samorządu terytorialnego</w:t>
      </w:r>
      <w:r w:rsidRPr="00CD7731">
        <w:rPr>
          <w:rFonts w:ascii="Times New Roman" w:hAnsi="Times New Roman"/>
          <w:lang w:eastAsia="pl-PL"/>
        </w:rPr>
        <w:t xml:space="preserve"> do zakładu budżetowego. Dot</w:t>
      </w:r>
      <w:r>
        <w:rPr>
          <w:rFonts w:ascii="Times New Roman" w:hAnsi="Times New Roman"/>
          <w:lang w:eastAsia="pl-PL"/>
        </w:rPr>
        <w:t xml:space="preserve">acje będą mogły być wyższe niż </w:t>
      </w:r>
      <w:r w:rsidRPr="00CD7731">
        <w:rPr>
          <w:rFonts w:ascii="Times New Roman" w:hAnsi="Times New Roman"/>
          <w:lang w:eastAsia="pl-PL"/>
        </w:rPr>
        <w:t>50% kosztów jego działalności.</w:t>
      </w:r>
    </w:p>
    <w:p w:rsidR="00BF0591" w:rsidRDefault="00BF0591" w:rsidP="00FC7841">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samorządowego zakładu budżetowego:</w:t>
      </w:r>
    </w:p>
    <w:p w:rsidR="00BF0591" w:rsidRDefault="00BF0591" w:rsidP="00BF0591">
      <w:pPr>
        <w:suppressAutoHyphens/>
        <w:autoSpaceDE w:val="0"/>
        <w:autoSpaceDN w:val="0"/>
        <w:adjustRightInd w:val="0"/>
        <w:spacing w:after="120" w:line="360" w:lineRule="auto"/>
        <w:jc w:val="both"/>
        <w:rPr>
          <w:rFonts w:ascii="Times New Roman" w:hAnsi="Times New Roman"/>
          <w:lang w:eastAsia="pl-PL"/>
        </w:rPr>
      </w:pPr>
      <w:r w:rsidRPr="00BF0591">
        <w:rPr>
          <w:rFonts w:ascii="Times New Roman" w:hAnsi="Times New Roman"/>
          <w:lang w:eastAsia="pl-PL"/>
        </w:rPr>
        <w:lastRenderedPageBreak/>
        <w:t>Zaproponowano, że w przypadku realizacji przez samorządowy zakład budżetowy zadań związanych z przeciwdziałaniem COVID-19, zawiesi w 2020 r. ograniczenie dotyczące dotacji przekazywanych z budżetu JST do zakładu budżetowego. Dotacje będą mogły być wyższe niż  50% kosztów jego działalności.</w:t>
      </w:r>
    </w:p>
    <w:p w:rsidR="00CB4E8B" w:rsidRDefault="00CB4E8B"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Finansowanie kosztów świadczenia postojowego i pożyczek:</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Proponuje się zabezpieczenie na finansowanie pomocy przez powiatowe urzędy pracy środków Funduszu Pracy w ramach ustalonych kwot środków Funduszu Pracy (limitów) na finansowanie programów na rzecz promocji zatrudnienia, łagodzenia skutków bezrobocia i aktywizacji zawodowej, w tym  realizowanych w ramach projektów współfinansowanych z Europejskiego Funduszu Społecznego</w:t>
      </w:r>
      <w:r>
        <w:rPr>
          <w:rFonts w:ascii="Times New Roman" w:hAnsi="Times New Roman"/>
          <w:lang w:eastAsia="pl-PL"/>
        </w:rPr>
        <w:t xml:space="preserve"> (PO WER oraz RPO) na rok 2020.</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Dodatkowe środki uruchomione na finansowanie pomocy w ramach projektów EFS uruchamiane będą w ramach  dostępnej alokacji w ramach PO WER lub RPO lub uzyskanej od Ministra Finansów nadkontraktacji. Finansowanie projektowanych instrumentów w ra</w:t>
      </w:r>
      <w:r>
        <w:rPr>
          <w:rFonts w:ascii="Times New Roman" w:hAnsi="Times New Roman"/>
          <w:lang w:eastAsia="pl-PL"/>
        </w:rPr>
        <w:t>mach projektów EFS odbywa się w </w:t>
      </w:r>
      <w:r w:rsidRPr="00560761">
        <w:rPr>
          <w:rFonts w:ascii="Times New Roman" w:hAnsi="Times New Roman"/>
          <w:lang w:eastAsia="pl-PL"/>
        </w:rPr>
        <w:t>ramach umów, o których mowa w art. 109 ust. 7 ustawy o promocji zatrudnienia i instytucjach rynku pracy bez zmiany ich treści.</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Natomiast na finansowanie pomocy</w:t>
      </w:r>
      <w:r>
        <w:rPr>
          <w:rFonts w:ascii="Times New Roman" w:hAnsi="Times New Roman"/>
          <w:lang w:eastAsia="pl-PL"/>
        </w:rPr>
        <w:t xml:space="preserve"> pożyczki dla mikroprzedsiębiorców </w:t>
      </w:r>
      <w:r w:rsidRPr="00560761">
        <w:rPr>
          <w:rFonts w:ascii="Times New Roman" w:hAnsi="Times New Roman"/>
          <w:lang w:eastAsia="pl-PL"/>
        </w:rPr>
        <w:t>proponuje się zabezpieczenie przez powiatowe urzędy pracy środków Funduszu Pracy w ramach ustalonych kwot środków Funduszu Pracy (limitów) na finansowanie programów na rzecz promocji zatrudnienia, łagodzenia skutków bezrobocia i aktywizacji zawodowej, z wyłączeniem środków przeznaczonych na realizację projektów współfinansowanych z Europejskiego Funduszu Społecznego (PO WER oraz RPO) na rok 2020.</w:t>
      </w:r>
    </w:p>
    <w:p w:rsidR="00CB4E8B" w:rsidRPr="00560761" w:rsidRDefault="00CB4E8B" w:rsidP="00CB4E8B">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Na powyższe cele mogą być uruchomione dodatkowe środki Fun</w:t>
      </w:r>
      <w:r>
        <w:rPr>
          <w:rFonts w:ascii="Times New Roman" w:hAnsi="Times New Roman"/>
          <w:lang w:eastAsia="pl-PL"/>
        </w:rPr>
        <w:t>duszu Pracy z rezerwy będącej w </w:t>
      </w:r>
      <w:r w:rsidRPr="00560761">
        <w:rPr>
          <w:rFonts w:ascii="Times New Roman" w:hAnsi="Times New Roman"/>
          <w:lang w:eastAsia="pl-PL"/>
        </w:rPr>
        <w:t>dyspozycji ministra wła</w:t>
      </w:r>
      <w:r>
        <w:rPr>
          <w:rFonts w:ascii="Times New Roman" w:hAnsi="Times New Roman"/>
          <w:lang w:eastAsia="pl-PL"/>
        </w:rPr>
        <w:t>ściwego do spraw pracy.</w:t>
      </w:r>
    </w:p>
    <w:p w:rsidR="00CB4E8B" w:rsidRDefault="00CB4E8B" w:rsidP="00BF0591">
      <w:pPr>
        <w:suppressAutoHyphens/>
        <w:autoSpaceDE w:val="0"/>
        <w:autoSpaceDN w:val="0"/>
        <w:adjustRightInd w:val="0"/>
        <w:spacing w:after="120" w:line="360" w:lineRule="auto"/>
        <w:jc w:val="both"/>
        <w:rPr>
          <w:rFonts w:ascii="Times New Roman" w:hAnsi="Times New Roman"/>
          <w:lang w:eastAsia="pl-PL"/>
        </w:rPr>
      </w:pPr>
      <w:r w:rsidRPr="00560761">
        <w:rPr>
          <w:rFonts w:ascii="Times New Roman" w:hAnsi="Times New Roman"/>
          <w:lang w:eastAsia="pl-PL"/>
        </w:rPr>
        <w:t>W przypadku zgłoszeń marszałków województw o wyczerpaniu środków Funduszu Pracy w</w:t>
      </w:r>
      <w:r>
        <w:rPr>
          <w:rFonts w:ascii="Times New Roman" w:hAnsi="Times New Roman"/>
          <w:lang w:eastAsia="pl-PL"/>
        </w:rPr>
        <w:t> </w:t>
      </w:r>
      <w:r w:rsidRPr="00560761">
        <w:rPr>
          <w:rFonts w:ascii="Times New Roman" w:hAnsi="Times New Roman"/>
          <w:lang w:eastAsia="pl-PL"/>
        </w:rPr>
        <w:t>województwach na realizację projektowanych instrumentów</w:t>
      </w:r>
      <w:r>
        <w:rPr>
          <w:rFonts w:ascii="Times New Roman" w:hAnsi="Times New Roman"/>
          <w:lang w:eastAsia="pl-PL"/>
        </w:rPr>
        <w:t xml:space="preserve"> </w:t>
      </w:r>
      <w:r w:rsidRPr="00560761">
        <w:rPr>
          <w:rFonts w:ascii="Times New Roman" w:hAnsi="Times New Roman"/>
          <w:lang w:eastAsia="pl-PL"/>
        </w:rPr>
        <w:t>minister właściwy do spraw pracy może dokonać zmian w planie finansowym Funduszu Pracy polegających na zwiększeniu zaplanowanych na rok bieżący na ten cel kosztów oraz zmniejszeniu salda Funduszu Prac</w:t>
      </w:r>
      <w:r>
        <w:rPr>
          <w:rFonts w:ascii="Times New Roman" w:hAnsi="Times New Roman"/>
          <w:lang w:eastAsia="pl-PL"/>
        </w:rPr>
        <w:t>y na podstawie przepisów ustawy.</w:t>
      </w:r>
    </w:p>
    <w:p w:rsidR="00A74161" w:rsidRDefault="00A7416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odroczenia obowiązku uzyskania licencji:</w:t>
      </w:r>
    </w:p>
    <w:p w:rsidR="00A74161" w:rsidRPr="00A74161" w:rsidRDefault="00A74161" w:rsidP="00A7416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w:t>
      </w:r>
      <w:r w:rsidRPr="00A74161">
        <w:rPr>
          <w:rFonts w:ascii="Times New Roman" w:hAnsi="Times New Roman"/>
          <w:lang w:eastAsia="pl-PL"/>
        </w:rPr>
        <w:t>rzedłużenie obowiązku uzyskania licencji pośrednictwa w przewozie osób na maksymalny okres do 30 września 2020 r., z jednoczesnym lex specialis - zwolnieniem taksówkarzy z obowiązku odbierania zleceń wyłącznie od pośredników posiadających licen</w:t>
      </w:r>
      <w:r>
        <w:rPr>
          <w:rFonts w:ascii="Times New Roman" w:hAnsi="Times New Roman"/>
          <w:lang w:eastAsia="pl-PL"/>
        </w:rPr>
        <w:t>cję.</w:t>
      </w:r>
      <w:r w:rsidRPr="00A74161">
        <w:rPr>
          <w:rFonts w:ascii="Times New Roman" w:hAnsi="Times New Roman"/>
          <w:lang w:eastAsia="pl-PL"/>
        </w:rPr>
        <w:t xml:space="preserve"> Zgodnie z informacjami umieszczonymi w BIP Głównego Inspektoratu Transportu Drogowego, na dzień 9 marca 2020 r. udzielono 29 licencji na wykonywanie transportu drogowego w zakresie poś</w:t>
      </w:r>
      <w:r>
        <w:rPr>
          <w:rFonts w:ascii="Times New Roman" w:hAnsi="Times New Roman"/>
          <w:lang w:eastAsia="pl-PL"/>
        </w:rPr>
        <w:t xml:space="preserve">rednictwa przy przewozie osób. </w:t>
      </w:r>
      <w:r w:rsidRPr="00A74161">
        <w:rPr>
          <w:rFonts w:ascii="Times New Roman" w:hAnsi="Times New Roman"/>
          <w:lang w:eastAsia="pl-PL"/>
        </w:rPr>
        <w:t xml:space="preserve">Aby zachować </w:t>
      </w:r>
      <w:r w:rsidRPr="00A74161">
        <w:rPr>
          <w:rFonts w:ascii="Times New Roman" w:hAnsi="Times New Roman"/>
          <w:lang w:eastAsia="pl-PL"/>
        </w:rPr>
        <w:lastRenderedPageBreak/>
        <w:t>zasadę sprawiedliwości społecznej należy także w przypadku podmiotów które już uzyskały licencję wprowadzić okres przejściowy umożliwiający tym podmiotom zlecanie przewozów osobom, które nie posiadają licencji taksówkom. W ten sposób zostanie zachowana równość prowadzenia działalności gospodarczej, a także zostaną spełnione cele regulacji jaką jest ograniczenie transportu zbiorowego osób, w szczególności w dużych miastach, co jest szczególnie istotne w najbliższy tygodniach działań przeciwdziałania  rozprzestrzeniania się wirusa COViD-19. W celu zachowania równych obowiązków prowadzenia działalności na terytorium kraju dla wszystkich podmiotów na danym rynku należy także wprowadzić na okres przejściowy przepis zwalniający podmioty prowadzące pośrednictwo przy przewozie osób od prowadzenia ewidencji, o której mowa w art. 27b. Ma to znaczenie związane z zachowaniem równych obowiązków prowadzenia działalności na terytorium kraju dla wszystkich podmiotów na danym rynku.</w:t>
      </w:r>
    </w:p>
    <w:p w:rsidR="001062A7" w:rsidRDefault="001062A7"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ochrony najemców:</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Projekt</w:t>
      </w:r>
      <w:r w:rsidRPr="001062A7">
        <w:rPr>
          <w:rFonts w:ascii="Times New Roman" w:hAnsi="Times New Roman"/>
          <w:lang w:eastAsia="pl-PL"/>
        </w:rPr>
        <w:t xml:space="preserve"> przewiduje przedłużenie na warunkach dotychczasowych czasu obowiązywania umowy najmu (zarówno lokali mieszkalnych, jak i lokali o innym przeznaczeniu) do dnia 30 czerwca 2020 r. na podstawie oświadczenia woli najemcy. Jednocześnie zastrzeżono, że powyższe rozwiązanie nie będzie miało zastosowania w enumeratywnie wymienionych w ustawie przypadkach, m. in. jeżeli najemca pozostaje w zwłoce z zapłatą opłat za używanie lokalu, czy opłat niezależnych od wynajmującego, a pobieranych przez tego wynajmującego, za co najmniej jeden okres rozliczeniowy, jeżeli łączna wartość tych zaległych należności przekroczyła kwotę czynszu należnego za jeden miesiąc; lub gdy używa tego lokalu w sposób sprzeczny z umową lub niezgodnie z jego przeznaczeniem.</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t>Oświadczenie woli o przedłużeniu umowy najmu lokalu do dnia 30 czerwca 2020 r., na warunkach dotychczasowych, najemca zobowiązany będzie złożyć wynajmującemu lokal najpóźniej w dniu upływu czasu obowiązywania tej umowy.</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t>Ponadto projekt zakłada, że do dnia 30 czerwca 2020 r. niedopuszczalne będzie wypowiedzenie najemcy umowy najmu lokalu (zarówno lokalu mieszkalnego, jak i lokalu o innym przeznaczeniu) oraz wysokości czynszu w takim lokalu. Przy czym wskazano, że możliwym będzie wypowiedzenie umowy najmu najemcy lokalu mieszkalnego na podstawie art. 11 ust. 2 pkt 1, pkt 3 lub pkt 4 ustawy z o ochronie praw lokatorów, mieszkaniowym zasobie gminy i o zmianie Kodeksu cywilnego lub najemcy, któremu przysługuje tytuł prawny do innego lokalu mieszkalnego położonego w tej samej lub pobliskiej miejscowości, jeżeli lokal ten spełnia warunki przewidziane dla lokalu zamiennego, chyba że najemca nie może z przyczyn od niego niezależnych używać tego lokalu. Projekt zastrzega również, że możliwym będzie wypowiedzenie umowy najmu lokalu o innym przeznaczeniu niż mieszkalnym w przypadku naruszenia przez najemcę postanowień umowy najmu lub przepisów prawa dotyczący</w:t>
      </w:r>
      <w:r>
        <w:rPr>
          <w:rFonts w:ascii="Times New Roman" w:hAnsi="Times New Roman"/>
          <w:lang w:eastAsia="pl-PL"/>
        </w:rPr>
        <w:t xml:space="preserve">ch sposobu używania lokalu lub </w:t>
      </w:r>
      <w:r w:rsidRPr="001062A7">
        <w:rPr>
          <w:rFonts w:ascii="Times New Roman" w:hAnsi="Times New Roman"/>
          <w:lang w:eastAsia="pl-PL"/>
        </w:rPr>
        <w:t>w przypadku konieczności rozbiórki lub remontu budynku, w którym znajduje się ten lokal.</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lastRenderedPageBreak/>
        <w:t xml:space="preserve">W projekcie przewidziano także możliwość przedłużenia do dnia 30 czerwca 2020 r. na podstawie oświadczenia woli najemcy terminu wypowiedzenia umowy najmu lokalu mieszkalnego lub wysokości czynszu w takim lokalu, dokonanego przez wynajmującego. Powyższe rozwiązanie dotyczyć będzie sytuacji, w której wypowiedzenie umowy najmu lokalu mieszkalnego lub wypowiedzenie wysokości czynszu w takim lokalu nastąpiło przed dniem wejścia w życie niniejszej ustawy, a termin tego wypowiedzenia upływa po tym dniu, lecz przed dniem 30 czerwca 2020 r. Oświadczenie woli o przedłużeniu terminu wypowiedzenia umowy najmu lokalu mieszkalnego lub wysokości czynszu do dnia 30 czerwca 2020 r., najemca zobowiązany będzie złożyć wynajmującemu lokal najpóźniej w dniu upływu tego terminu. </w:t>
      </w:r>
    </w:p>
    <w:p w:rsidR="001062A7" w:rsidRPr="001062A7" w:rsidRDefault="001062A7" w:rsidP="001062A7">
      <w:pPr>
        <w:suppressAutoHyphens/>
        <w:autoSpaceDE w:val="0"/>
        <w:autoSpaceDN w:val="0"/>
        <w:adjustRightInd w:val="0"/>
        <w:spacing w:after="120" w:line="360" w:lineRule="auto"/>
        <w:jc w:val="both"/>
        <w:rPr>
          <w:rFonts w:ascii="Times New Roman" w:hAnsi="Times New Roman"/>
          <w:lang w:eastAsia="pl-PL"/>
        </w:rPr>
      </w:pPr>
      <w:r w:rsidRPr="001062A7">
        <w:rPr>
          <w:rFonts w:ascii="Times New Roman" w:hAnsi="Times New Roman"/>
          <w:lang w:eastAsia="pl-PL"/>
        </w:rPr>
        <w:t>Jednocześnie proponuje się wyłączenie stosowania powyższego rozwiązania w przypadku wypowiedzenia umowy najmu najemcy lokalu mieszkalnego na podstawie art. 11 ust. 2 ustawy z dnia o ochronie praw lokatorów, mieszkaniowym zasobie gminy i o z</w:t>
      </w:r>
      <w:r>
        <w:rPr>
          <w:rFonts w:ascii="Times New Roman" w:hAnsi="Times New Roman"/>
          <w:lang w:eastAsia="pl-PL"/>
        </w:rPr>
        <w:t>mianie Kodeksu cywilnego; lub w </w:t>
      </w:r>
      <w:r w:rsidRPr="001062A7">
        <w:rPr>
          <w:rFonts w:ascii="Times New Roman" w:hAnsi="Times New Roman"/>
          <w:lang w:eastAsia="pl-PL"/>
        </w:rPr>
        <w:t>przypadku wypowiedzenia umowy najmu lokalu mieszkalnego najemcy,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p>
    <w:p w:rsidR="0046713F" w:rsidRDefault="0046713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Polskiego Związku Łowieckiego:</w:t>
      </w:r>
    </w:p>
    <w:p w:rsidR="0046713F" w:rsidRPr="0046713F" w:rsidRDefault="0046713F" w:rsidP="0046713F">
      <w:pPr>
        <w:suppressAutoHyphens/>
        <w:autoSpaceDE w:val="0"/>
        <w:autoSpaceDN w:val="0"/>
        <w:adjustRightInd w:val="0"/>
        <w:spacing w:after="120" w:line="360" w:lineRule="auto"/>
        <w:jc w:val="both"/>
        <w:rPr>
          <w:rFonts w:ascii="Times New Roman" w:hAnsi="Times New Roman"/>
          <w:lang w:eastAsia="pl-PL"/>
        </w:rPr>
      </w:pPr>
      <w:r w:rsidRPr="0046713F">
        <w:rPr>
          <w:rFonts w:ascii="Times New Roman" w:hAnsi="Times New Roman"/>
          <w:lang w:eastAsia="pl-PL"/>
        </w:rPr>
        <w:t>Mając na celu uniknięcie negatywnych konsekwencji wynikających z pandemii COVID -19 przewiduje się wprowadzenie przepisów, które umożliwią sprawne funkcjonowanie organów</w:t>
      </w:r>
      <w:r w:rsidR="005353E7">
        <w:rPr>
          <w:rFonts w:ascii="Times New Roman" w:hAnsi="Times New Roman"/>
          <w:lang w:eastAsia="pl-PL"/>
        </w:rPr>
        <w:t xml:space="preserve"> Polskiego Związku Łowieckiego.</w:t>
      </w:r>
    </w:p>
    <w:p w:rsidR="005353E7" w:rsidRDefault="005353E7"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zakresie świadectw kwalifikacyjnych na podstawie ustawy Prawo energetyczne:</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Nowelizacja przewiduje możliwość zawieszenia wszczętych i niezakończonych postępowań w sprawie wydania:</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1)</w:t>
      </w:r>
      <w:r w:rsidRPr="005353E7">
        <w:rPr>
          <w:rFonts w:ascii="Times New Roman" w:hAnsi="Times New Roman"/>
          <w:lang w:eastAsia="pl-PL"/>
        </w:rPr>
        <w:tab/>
        <w:t xml:space="preserve">decyzji o środowiskowych uwarunkowaniach, </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2)</w:t>
      </w:r>
      <w:r w:rsidRPr="005353E7">
        <w:rPr>
          <w:rFonts w:ascii="Times New Roman" w:hAnsi="Times New Roman"/>
          <w:lang w:eastAsia="pl-PL"/>
        </w:rPr>
        <w:tab/>
        <w:t xml:space="preserve">pozwolenia na budowę, </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3)</w:t>
      </w:r>
      <w:r w:rsidRPr="005353E7">
        <w:rPr>
          <w:rFonts w:ascii="Times New Roman" w:hAnsi="Times New Roman"/>
          <w:lang w:eastAsia="pl-PL"/>
        </w:rPr>
        <w:tab/>
        <w:t>pozwolenia zintegrowanego,</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4)</w:t>
      </w:r>
      <w:r w:rsidRPr="005353E7">
        <w:rPr>
          <w:rFonts w:ascii="Times New Roman" w:hAnsi="Times New Roman"/>
          <w:lang w:eastAsia="pl-PL"/>
        </w:rPr>
        <w:tab/>
        <w:t>zezwolenia na przetwarzanie odpadów</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t>- dla instalacji przeznaczonej do termicznego przekształcania odpadów komunalnych oraz odpadów pochodzących z odpadów komunalnych, nieoddanej do eksploatacji w dniu wejścia w życie niniejszej ustawy, zawiesza się do czasu wydania przepisów wykonawczych na podstawie art. 35b ust. 4 ustawy z dnia 14 grudnia 2012 r. o odpadach.</w:t>
      </w:r>
    </w:p>
    <w:p w:rsidR="005353E7" w:rsidRPr="005353E7" w:rsidRDefault="005353E7" w:rsidP="005353E7">
      <w:pPr>
        <w:suppressAutoHyphens/>
        <w:autoSpaceDE w:val="0"/>
        <w:autoSpaceDN w:val="0"/>
        <w:adjustRightInd w:val="0"/>
        <w:spacing w:after="120" w:line="360" w:lineRule="auto"/>
        <w:jc w:val="both"/>
        <w:rPr>
          <w:rFonts w:ascii="Times New Roman" w:hAnsi="Times New Roman"/>
          <w:lang w:eastAsia="pl-PL"/>
        </w:rPr>
      </w:pPr>
      <w:r w:rsidRPr="005353E7">
        <w:rPr>
          <w:rFonts w:ascii="Times New Roman" w:hAnsi="Times New Roman"/>
          <w:lang w:eastAsia="pl-PL"/>
        </w:rPr>
        <w:lastRenderedPageBreak/>
        <w:t>Proponuje się również wydłużenie terminów ważności świadectw kwalifikacyjnych uprawniających do eksploatacji urządzeń, instalacji i sieci energetycznych, o których mowa w ustawie z dnia 10 kwietnia 1997 r. - Prawo energetyczne.</w:t>
      </w:r>
    </w:p>
    <w:p w:rsidR="00BF0591" w:rsidRDefault="00BF059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Uchylenie art. 34 specustawy:</w:t>
      </w:r>
    </w:p>
    <w:p w:rsidR="00BF0591" w:rsidRPr="00BF0591" w:rsidRDefault="00BF0591" w:rsidP="00BF0591">
      <w:pPr>
        <w:suppressAutoHyphens/>
        <w:autoSpaceDE w:val="0"/>
        <w:autoSpaceDN w:val="0"/>
        <w:adjustRightInd w:val="0"/>
        <w:spacing w:after="120" w:line="360" w:lineRule="auto"/>
        <w:jc w:val="both"/>
        <w:rPr>
          <w:rFonts w:ascii="Times New Roman" w:hAnsi="Times New Roman"/>
          <w:lang w:eastAsia="pl-PL"/>
        </w:rPr>
      </w:pPr>
      <w:r w:rsidRPr="00951BFC">
        <w:rPr>
          <w:rFonts w:ascii="Times New Roman" w:hAnsi="Times New Roman"/>
          <w:lang w:eastAsia="pl-PL"/>
        </w:rPr>
        <w:t>W związku z wprowadzanymi przepisami, które w szerszy sposób odnoszą się do kwestii finansowania zadań na przeciwdziałanie COVID-19 ze środków ujętych w rezerwach celowych, zasadne było uchylenie obowiązującego art. 34.</w:t>
      </w:r>
    </w:p>
    <w:p w:rsidR="006A4328" w:rsidRDefault="006A4328"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 Kodeks wykroczeń:</w:t>
      </w:r>
    </w:p>
    <w:p w:rsidR="006A4328" w:rsidRPr="00A0671B" w:rsidRDefault="006A4328" w:rsidP="006A4328">
      <w:pPr>
        <w:spacing w:after="120" w:line="360" w:lineRule="auto"/>
        <w:jc w:val="both"/>
        <w:rPr>
          <w:rFonts w:ascii="Times New Roman" w:hAnsi="Times New Roman"/>
        </w:rPr>
      </w:pPr>
      <w:r>
        <w:rPr>
          <w:rFonts w:ascii="Times New Roman" w:hAnsi="Times New Roman"/>
        </w:rPr>
        <w:t>Proponuje się</w:t>
      </w:r>
      <w:r w:rsidRPr="00A0671B">
        <w:rPr>
          <w:rFonts w:ascii="Times New Roman" w:hAnsi="Times New Roman"/>
        </w:rPr>
        <w:t xml:space="preserve"> dokonanie zmiany w ustawie </w:t>
      </w:r>
      <w:r>
        <w:rPr>
          <w:rFonts w:ascii="Times New Roman" w:hAnsi="Times New Roman"/>
        </w:rPr>
        <w:t xml:space="preserve">- </w:t>
      </w:r>
      <w:r w:rsidRPr="00A0671B">
        <w:rPr>
          <w:rFonts w:ascii="Times New Roman" w:hAnsi="Times New Roman"/>
        </w:rPr>
        <w:t xml:space="preserve">Kodeks wykroczeń w zakresie penalizacji </w:t>
      </w:r>
      <w:r>
        <w:rPr>
          <w:rFonts w:ascii="Times New Roman" w:hAnsi="Times New Roman"/>
        </w:rPr>
        <w:t>braku</w:t>
      </w:r>
      <w:r w:rsidRPr="00A0671B">
        <w:rPr>
          <w:rFonts w:ascii="Times New Roman" w:hAnsi="Times New Roman"/>
        </w:rPr>
        <w:t xml:space="preserve"> zastosowania się do poleceń wydawanych przez funkcjonariuszy Policji i Straży Granicznej. Rozwiązanie to jest kluczowe z punktu widzenia zapewnienia skuteczności działań tych formacji zarówno podczas zagrożenia epidemicznego, jak również przy realiza</w:t>
      </w:r>
      <w:r>
        <w:rPr>
          <w:rFonts w:ascii="Times New Roman" w:hAnsi="Times New Roman"/>
        </w:rPr>
        <w:t>cji typowych zadań ustawowych.</w:t>
      </w:r>
    </w:p>
    <w:p w:rsidR="006A4328" w:rsidRDefault="006A4328" w:rsidP="006A4328">
      <w:pPr>
        <w:spacing w:after="120" w:line="360" w:lineRule="auto"/>
        <w:jc w:val="both"/>
        <w:rPr>
          <w:rFonts w:ascii="Times New Roman" w:hAnsi="Times New Roman"/>
        </w:rPr>
      </w:pPr>
      <w:r w:rsidRPr="00A0671B">
        <w:rPr>
          <w:rFonts w:ascii="Times New Roman" w:hAnsi="Times New Roman"/>
        </w:rPr>
        <w:t>Projekt obejmuje propozycję określenia nowego</w:t>
      </w:r>
      <w:r w:rsidRPr="00A0671B">
        <w:rPr>
          <w:rFonts w:ascii="Times New Roman" w:hAnsi="Times New Roman"/>
          <w:b/>
        </w:rPr>
        <w:t xml:space="preserve"> </w:t>
      </w:r>
      <w:r w:rsidRPr="00A0671B">
        <w:rPr>
          <w:rFonts w:ascii="Times New Roman" w:hAnsi="Times New Roman"/>
        </w:rPr>
        <w:t xml:space="preserve">czynu zabronionego stanowiącego wykroczenie, które polegałoby na uniemożliwianiu lub istotnym utrudnianiu wykonywania czynności służbowych przez funkcjonariusza Policji lub Straży Granicznej poprzez niestosowanie się do wydawanych przez funkcjonariusza poleceń (nowy art. 65a). Propozycja ta służy przede wszystkim zapewnieniu właściwego przebiegu interwencji podejmowanych przez funkcjonariuszy wymienionych formacji. </w:t>
      </w:r>
      <w:r>
        <w:rPr>
          <w:rFonts w:ascii="Times New Roman" w:hAnsi="Times New Roman"/>
        </w:rPr>
        <w:t>Zmierza ona</w:t>
      </w:r>
      <w:r w:rsidRPr="00A0671B">
        <w:rPr>
          <w:rFonts w:ascii="Times New Roman" w:hAnsi="Times New Roman"/>
        </w:rPr>
        <w:t xml:space="preserve"> do urzeczywistnienia przysługującego funkcjonariuszom Policji i Straży Granicznej prawa do wydawania poleceń, które to prawo zostało sformułowane wprost w przepisach art. 15 ust. 1 pkt 10 ustawy o Policji oraz art. 11 ust. 1 pkt 14 ustawy o Straży Granicznej, dodanych na mocy ustawy o zmianie ustawy o Policji oraz niektórych in</w:t>
      </w:r>
      <w:r>
        <w:rPr>
          <w:rFonts w:ascii="Times New Roman" w:hAnsi="Times New Roman"/>
        </w:rPr>
        <w:t>nych ustaw.</w:t>
      </w:r>
    </w:p>
    <w:p w:rsidR="00D00913" w:rsidRDefault="00D00913"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podatku dochodowym od osób fizycznych:</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Przepis </w:t>
      </w:r>
      <w:r>
        <w:rPr>
          <w:rFonts w:ascii="Times New Roman" w:hAnsi="Times New Roman"/>
          <w:lang w:eastAsia="pl-PL"/>
        </w:rPr>
        <w:t>art. 52k</w:t>
      </w:r>
      <w:r w:rsidRPr="00944EEF">
        <w:rPr>
          <w:rFonts w:ascii="Times New Roman" w:hAnsi="Times New Roman"/>
          <w:lang w:eastAsia="pl-PL"/>
        </w:rPr>
        <w:t xml:space="preserve"> dotyczy szczególnych rozwiązań w zakresie rozliczania strat podatkowych przez podatników, którzy w związku z rozprzestrzenianiem się choroby zakaźnej wywołanej wirusem SARS-CoV-2, o którym mowa w </w:t>
      </w:r>
      <w:r>
        <w:rPr>
          <w:rFonts w:ascii="Times New Roman" w:hAnsi="Times New Roman"/>
          <w:lang w:eastAsia="pl-PL"/>
        </w:rPr>
        <w:t>specustawie,</w:t>
      </w:r>
      <w:r w:rsidRPr="00944EEF">
        <w:rPr>
          <w:rFonts w:ascii="Times New Roman" w:hAnsi="Times New Roman"/>
          <w:lang w:eastAsia="pl-PL"/>
        </w:rPr>
        <w:t xml:space="preserve"> ponieśli stratę z pozarolniczej dzia</w:t>
      </w:r>
      <w:r>
        <w:rPr>
          <w:rFonts w:ascii="Times New Roman" w:hAnsi="Times New Roman"/>
          <w:lang w:eastAsia="pl-PL"/>
        </w:rPr>
        <w:t>łalności gospodarczej w 2020 r.</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W takim przypadku będą oni mogli o wysokość tej straty, nie więcej jednak niż do kwoty 5 mln zł, obniżyć dochód uzyskany z pozarolniczej działalności gospodarczej w 2019 roku, składając w tym celu korektę zeznania za ten rok. Z tego sposobu rozliczenia straty będą mogli skorzystać podatnicy, którzy w roku 2020 osiągną przychody z działalności gospodarczej niższe o co najmniej 50% od przychodów uzyskanych z tej działalności w 2019 r.</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Nieodliczoną kwotę straty podatnicy będą rozliczać na doty</w:t>
      </w:r>
      <w:r>
        <w:rPr>
          <w:rFonts w:ascii="Times New Roman" w:hAnsi="Times New Roman"/>
          <w:lang w:eastAsia="pl-PL"/>
        </w:rPr>
        <w:t>chczas obowiązujących zasadach.</w:t>
      </w:r>
    </w:p>
    <w:p w:rsidR="00D00913"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W </w:t>
      </w:r>
      <w:r>
        <w:rPr>
          <w:rFonts w:ascii="Times New Roman" w:hAnsi="Times New Roman"/>
          <w:lang w:eastAsia="pl-PL"/>
        </w:rPr>
        <w:t>art. 52l</w:t>
      </w:r>
      <w:r w:rsidRPr="00944EEF">
        <w:rPr>
          <w:rFonts w:ascii="Times New Roman" w:hAnsi="Times New Roman"/>
          <w:lang w:eastAsia="pl-PL"/>
        </w:rPr>
        <w:t xml:space="preserve"> przewiduje się zwolnienie od podatku dochodowego otrzymanych w 2020 r. przez podatników prowadzących pozarolniczą działalność g</w:t>
      </w:r>
      <w:r>
        <w:rPr>
          <w:rFonts w:ascii="Times New Roman" w:hAnsi="Times New Roman"/>
          <w:lang w:eastAsia="pl-PL"/>
        </w:rPr>
        <w:t>ospodarczą przychodów z tytułu:</w:t>
      </w:r>
    </w:p>
    <w:p w:rsidR="00D00913" w:rsidRPr="00944EEF" w:rsidRDefault="00D00913" w:rsidP="00D00913">
      <w:pPr>
        <w:pStyle w:val="Akapitzlist"/>
        <w:numPr>
          <w:ilvl w:val="0"/>
          <w:numId w:val="17"/>
        </w:num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lastRenderedPageBreak/>
        <w:t>wsparcia gwarancyjnego oraz dopłat do kredytów przyznanych na podstawie ustawy,</w:t>
      </w:r>
    </w:p>
    <w:p w:rsidR="00D00913" w:rsidRPr="00944EEF" w:rsidRDefault="00D00913" w:rsidP="00D00913">
      <w:pPr>
        <w:pStyle w:val="Akapitzlist"/>
        <w:numPr>
          <w:ilvl w:val="0"/>
          <w:numId w:val="17"/>
        </w:num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dop</w:t>
      </w:r>
      <w:r>
        <w:rPr>
          <w:rFonts w:ascii="Times New Roman" w:hAnsi="Times New Roman"/>
          <w:lang w:eastAsia="pl-PL"/>
        </w:rPr>
        <w:t>łat do oprocentowania kredytów</w:t>
      </w:r>
      <w:r w:rsidRPr="00944EEF">
        <w:rPr>
          <w:rFonts w:ascii="Times New Roman" w:hAnsi="Times New Roman"/>
          <w:lang w:eastAsia="pl-PL"/>
        </w:rPr>
        <w:t xml:space="preserve"> p</w:t>
      </w:r>
      <w:r>
        <w:rPr>
          <w:rFonts w:ascii="Times New Roman" w:hAnsi="Times New Roman"/>
          <w:lang w:eastAsia="pl-PL"/>
        </w:rPr>
        <w:t>rzyznanych na podstawie ustawy.</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Dodawany przepis </w:t>
      </w:r>
      <w:r>
        <w:rPr>
          <w:rFonts w:ascii="Times New Roman" w:hAnsi="Times New Roman"/>
          <w:lang w:eastAsia="pl-PL"/>
        </w:rPr>
        <w:t xml:space="preserve">art. 52m </w:t>
      </w:r>
      <w:r w:rsidRPr="00944EEF">
        <w:rPr>
          <w:rFonts w:ascii="Times New Roman" w:hAnsi="Times New Roman"/>
          <w:lang w:eastAsia="pl-PL"/>
        </w:rPr>
        <w:t>umożliwia odliczenie darowizn przez podatników podatku PIT, w tym podatników prowadzących działalność gospodarczą (na ogólnych zasadach przy zastosowaniu skali podatkowej lub liniowej 19% stawki podatku), przekazanych w 2020 r. na przeciwdziałanie COVID-19</w:t>
      </w:r>
      <w:r>
        <w:rPr>
          <w:rFonts w:ascii="Times New Roman" w:hAnsi="Times New Roman"/>
          <w:lang w:eastAsia="pl-PL"/>
        </w:rPr>
        <w: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Odliczeniu będą podlegały darowizny (pieniężne lub rzeczowe) przekazane podmiotom wykonującym działalność leczniczą polegającą na świadczeniu opieki zdrowotnej, </w:t>
      </w:r>
      <w:r>
        <w:rPr>
          <w:rFonts w:ascii="Times New Roman" w:hAnsi="Times New Roman"/>
          <w:lang w:eastAsia="pl-PL"/>
        </w:rPr>
        <w:t>w tym transportu sanitarnego, a </w:t>
      </w:r>
      <w:r w:rsidRPr="00944EEF">
        <w:rPr>
          <w:rFonts w:ascii="Times New Roman" w:hAnsi="Times New Roman"/>
          <w:lang w:eastAsia="pl-PL"/>
        </w:rPr>
        <w:t xml:space="preserve">także przekazane Agencji Rezerw Materiałowych oraz Centralnej Bazie Rezerw </w:t>
      </w:r>
      <w:r>
        <w:rPr>
          <w:rFonts w:ascii="Times New Roman" w:hAnsi="Times New Roman"/>
          <w:lang w:eastAsia="pl-PL"/>
        </w:rPr>
        <w:t>Sanitarno-Przeciwepidemicznych.</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Darowizna będzie odliczana w pełnej wysokości. Darowizny pieniężne dokumentowane będą dowodem wpłaty na rachunek płatniczy lub rachunek bankowy obdarowanego, z kolei darowizny rzeczowe – oświadczeniem obdarowanego o ich przyjęciu oraz dowodem, z którego wynikać będzie wartość oraz</w:t>
      </w:r>
      <w:r>
        <w:rPr>
          <w:rFonts w:ascii="Times New Roman" w:hAnsi="Times New Roman"/>
          <w:lang w:eastAsia="pl-PL"/>
        </w:rPr>
        <w:t xml:space="preserve"> dane identyfikujące darczyńcę.</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Co do zasady, odliczenie będzie dokonywane w zeznaniu podatkowym. Wyjątek stanowić będą podatnicy uzyskujący przychody z działalności gospodarczej, najmu lub dzierżawy, którzy będą mogli stosować ulgę w trakcie roku przy </w:t>
      </w:r>
      <w:r>
        <w:rPr>
          <w:rFonts w:ascii="Times New Roman" w:hAnsi="Times New Roman"/>
          <w:lang w:eastAsia="pl-PL"/>
        </w:rPr>
        <w:t>obliczaniu zaliczek na podatek.</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Odliczeniu nie będą podlegały darowizny zaliczone do kosztów u</w:t>
      </w:r>
      <w:r>
        <w:rPr>
          <w:rFonts w:ascii="Times New Roman" w:hAnsi="Times New Roman"/>
          <w:lang w:eastAsia="pl-PL"/>
        </w:rPr>
        <w:t>zyskania przychodów, zwrócone w </w:t>
      </w:r>
      <w:r w:rsidRPr="00944EEF">
        <w:rPr>
          <w:rFonts w:ascii="Times New Roman" w:hAnsi="Times New Roman"/>
          <w:lang w:eastAsia="pl-PL"/>
        </w:rPr>
        <w:t>jakiejkolwiek formie lub odliczone na podstawie innych przepisów o podatku dochodowym, np</w:t>
      </w:r>
      <w:r>
        <w:rPr>
          <w:rFonts w:ascii="Times New Roman" w:hAnsi="Times New Roman"/>
          <w:lang w:eastAsia="pl-PL"/>
        </w:rPr>
        <w:t>. przepisów ustawy o ryczałcie.</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W zeznaniu podatkowym darczyńca będzie wskazywał kwotę dokonanej darow</w:t>
      </w:r>
      <w:r>
        <w:rPr>
          <w:rFonts w:ascii="Times New Roman" w:hAnsi="Times New Roman"/>
          <w:lang w:eastAsia="pl-PL"/>
        </w:rPr>
        <w:t>izny, kwotę, dane obdarowanego.</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W przypadku zwrotu dokonanej darowizny, obdarowany będzie obowiązany przekazać urzędowi skarbowemu informację o zwróconej podatnikowi darowiźnie, a podatnik doliczyć do dochodu kwoty uprzednio odliczone w zeznaniu składanym z</w:t>
      </w:r>
      <w:r>
        <w:rPr>
          <w:rFonts w:ascii="Times New Roman" w:hAnsi="Times New Roman"/>
          <w:lang w:eastAsia="pl-PL"/>
        </w:rPr>
        <w:t>a rok, w którym otrzymał zwrot.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 xml:space="preserve">W zakresie zmiany dotyczącej art. 52n – na podstawie art. 38 ust. 1 </w:t>
      </w:r>
      <w:r w:rsidRPr="00944EEF">
        <w:rPr>
          <w:rFonts w:ascii="Times New Roman" w:hAnsi="Times New Roman"/>
          <w:lang w:eastAsia="pl-PL"/>
        </w:rPr>
        <w:t>ustawy PIT płatnicy, o których mowa między innymi w art. 31 (zakłady pracy), kwoty pobranych zaliczek na podatek przekazują w terminie do 20 dnia miesiąca następującego po miesiącu, w którym pobrano zaliczki, na rachunek urzędu skarbowego, przy pomocy którego naczelnik urzędu skarbowego właściwy według miejsca zamieszkania</w:t>
      </w:r>
      <w:r>
        <w:rPr>
          <w:rFonts w:ascii="Times New Roman" w:hAnsi="Times New Roman"/>
          <w:lang w:eastAsia="pl-PL"/>
        </w:rPr>
        <w:t xml:space="preserve"> płatnika wykonuje swoje zadani</w:t>
      </w:r>
      <w:r w:rsidRPr="00944EEF">
        <w:rPr>
          <w:rFonts w:ascii="Times New Roman" w:hAnsi="Times New Roman"/>
          <w:lang w:eastAsia="pl-PL"/>
        </w:rPr>
        <w:t>a, a jeżeli płatnik nie jest osobą fizyczną, według siedziby bądź miejsca prowadzenia działalności, gdy płatnik nie posiada siedziby.</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Takie same terminy – na podstawie art. 42 ust. 1 ustawy PIT – obowiązują osoby fizyczne prowadzące działalność gospodarczą, osoby prawne i ich jednostki organizacyjne oraz jednostki organizacyjne </w:t>
      </w:r>
      <w:r w:rsidRPr="00944EEF">
        <w:rPr>
          <w:rFonts w:ascii="Times New Roman" w:hAnsi="Times New Roman"/>
          <w:lang w:eastAsia="pl-PL"/>
        </w:rPr>
        <w:lastRenderedPageBreak/>
        <w:t>niemające osobowości prawnej, które dokonują świadczeń z tytułu działalności, o której mowa w art. 13 pkt 8 ustawy PIT (przychody z tytułu wykonywania usług na podstawie umowy zlecenia i o dzieło zawartych z firmą).</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Dodawany przepis art. 52n wprowadza prolongatę terminu przekazania zaliczek na podatek od przychodów z szeroko rozumianej pracy pobranych w marcu i kwietniu. Zatem zapłata zaliczki, zamiast odpowiednio do 20 kwietnia i 20 maja, może być dokonana do dnia 1 czerwca 2020 r. Celem regulacji jest pomoc w zapewnieniu płynności finansowej firm zatrudniających pracowników, aby</w:t>
      </w:r>
      <w:r>
        <w:rPr>
          <w:rFonts w:ascii="Times New Roman" w:hAnsi="Times New Roman"/>
          <w:lang w:eastAsia="pl-PL"/>
        </w:rPr>
        <w:t xml:space="preserve"> zapewnić ochronę miejsc pracy.</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 xml:space="preserve">W </w:t>
      </w:r>
      <w:r>
        <w:rPr>
          <w:rFonts w:ascii="Times New Roman" w:hAnsi="Times New Roman"/>
          <w:lang w:eastAsia="pl-PL"/>
        </w:rPr>
        <w:t>art. 52o</w:t>
      </w:r>
      <w:r w:rsidRPr="00944EEF">
        <w:rPr>
          <w:rFonts w:ascii="Times New Roman" w:hAnsi="Times New Roman"/>
          <w:lang w:eastAsia="pl-PL"/>
        </w:rPr>
        <w:t xml:space="preserve"> proponuje się przesunięcie terminu do zapłaty podatku od przychodów z budynków za miesiące marzec-maj 2020 r. do 20 lipca 2020 roku. Rozwiązanie to będzie fakultatywne, tzn. że podatnik będzie mógł, ale nie musiał, z niego skorzystać.</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Z rozwiązania tego będą mogli korzystać podatnicy, jeżeli w danym miesiącu osiągnięte przez nich przychody w stosunku do analogicznego okresu poprzedniego roku podatkowego będą niższe o co najmniej 50%. Podatnicy, którzy rozpoczęli w trakcie 2019 r. prowadzenie działalności, będą mogli skorzystać z przesunięcia terminu zapłaty podatku od przychodów z budynków, jeżeli w danym miesiącu osiągnięte przychody będą niższe o co najmniej 50% w st</w:t>
      </w:r>
      <w:r>
        <w:rPr>
          <w:rFonts w:ascii="Times New Roman" w:hAnsi="Times New Roman"/>
          <w:lang w:eastAsia="pl-PL"/>
        </w:rPr>
        <w:t>osunku do średnich przychodów w </w:t>
      </w:r>
      <w:r w:rsidRPr="00944EEF">
        <w:rPr>
          <w:rFonts w:ascii="Times New Roman" w:hAnsi="Times New Roman"/>
          <w:lang w:eastAsia="pl-PL"/>
        </w:rPr>
        <w:t xml:space="preserve">2019 roku przypadających na miesiące. Z proponowanego rozwiązania będą mogli skorzystać również podatnicy, którzy rozpoczęli prowadzenie działalności w ostatnim kwartale 2019 r. i nie osiągnęli w tym okresie przychodów albo rozpoczęli działalność w trakcie 2020 r. albo w 2019 r. stosowali opodatkowanie w formie, w której nie ustala się przychodów, np. w formie karty podatkowej. Do ustalenia wskaźnika będą uwzględniane przychody </w:t>
      </w:r>
      <w:r>
        <w:rPr>
          <w:rFonts w:ascii="Times New Roman" w:hAnsi="Times New Roman"/>
          <w:lang w:eastAsia="pl-PL"/>
        </w:rPr>
        <w:t>określone w art. 14 ustawy PIT.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ramach art. 52p p</w:t>
      </w:r>
      <w:r w:rsidRPr="00944EEF">
        <w:rPr>
          <w:rFonts w:ascii="Times New Roman" w:hAnsi="Times New Roman"/>
          <w:lang w:eastAsia="pl-PL"/>
        </w:rPr>
        <w:t>roponuje się zwolnienie z obowiązku stosowania przepisów dotyczących tzw. złych długów podatników podatku dochodowego od osób fizycznych, którzy obowiązani są do zwiększania dochodu będącego podstawą obliczenia należnych w 2020 roku zaliczek miesięcznych (kwartalnych) z pozarolniczej działalności gospodarczej o niezapłacone w terminie zobowiązania. Ze zwolnienia z tego obowiązku będą mogli skorzystać podatnicy, których przychody osiągnięte w</w:t>
      </w:r>
      <w:r>
        <w:rPr>
          <w:rFonts w:ascii="Times New Roman" w:hAnsi="Times New Roman"/>
          <w:lang w:eastAsia="pl-PL"/>
        </w:rPr>
        <w:t> </w:t>
      </w:r>
      <w:r w:rsidRPr="00944EEF">
        <w:rPr>
          <w:rFonts w:ascii="Times New Roman" w:hAnsi="Times New Roman"/>
          <w:lang w:eastAsia="pl-PL"/>
        </w:rPr>
        <w:t>okresach rozliczeniowych (miesięcznych albo kwartalnych) w stosunku do analogicznych okresów w 2019 roku zmniejszą się o co najmniej 50%. Zobowiązania, które nie zostaną uregulowane w trakcie roku i przed złożeniem zeznania rocznego za 2020 rok, podatnicy ci uwzględnią w zeznaniu na podstawie art. 26i ustawy o PIT.</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Podatnicy, którzy rozpoczęli działalność w trakcie 2019 roku, w celu ustalenia poziomu spadku przychodów w 2020 roku, obliczą średnie przychody przypadające na miesiące albo kwartały 2019 roku.</w:t>
      </w:r>
    </w:p>
    <w:p w:rsidR="00D00913" w:rsidRPr="00944EEF" w:rsidRDefault="00D00913" w:rsidP="00D00913">
      <w:pPr>
        <w:suppressAutoHyphens/>
        <w:autoSpaceDE w:val="0"/>
        <w:autoSpaceDN w:val="0"/>
        <w:adjustRightInd w:val="0"/>
        <w:spacing w:after="120" w:line="360" w:lineRule="auto"/>
        <w:jc w:val="both"/>
        <w:rPr>
          <w:rFonts w:ascii="Times New Roman" w:hAnsi="Times New Roman"/>
          <w:lang w:eastAsia="pl-PL"/>
        </w:rPr>
      </w:pPr>
      <w:r w:rsidRPr="00944EEF">
        <w:rPr>
          <w:rFonts w:ascii="Times New Roman" w:hAnsi="Times New Roman"/>
          <w:lang w:eastAsia="pl-PL"/>
        </w:rPr>
        <w:t>Natomiast podatnicy, którzy rozpoczęli działalność w ostatnim kwartale 2019 roku i nie osiągnęli przychodów albo rozpoczęli działalność w 2020 roku, albo w 20</w:t>
      </w:r>
      <w:r>
        <w:rPr>
          <w:rFonts w:ascii="Times New Roman" w:hAnsi="Times New Roman"/>
          <w:lang w:eastAsia="pl-PL"/>
        </w:rPr>
        <w:t xml:space="preserve">19 r. stosowali opodatkowanie </w:t>
      </w:r>
      <w:r>
        <w:rPr>
          <w:rFonts w:ascii="Times New Roman" w:hAnsi="Times New Roman"/>
          <w:lang w:eastAsia="pl-PL"/>
        </w:rPr>
        <w:lastRenderedPageBreak/>
        <w:t>w </w:t>
      </w:r>
      <w:r w:rsidRPr="00944EEF">
        <w:rPr>
          <w:rFonts w:ascii="Times New Roman" w:hAnsi="Times New Roman"/>
          <w:lang w:eastAsia="pl-PL"/>
        </w:rPr>
        <w:t>formie, w której nie ustala się przychodów, np. w formie karty podatkowej, nie będą zobowiązani do stosowania przepisów dotyczących tzw. złych długów przy obliczaniu należnych w 2020 roku zaliczek na podatek dochodowy, jeżeli do powstania zaległości w spłacie zobowiązań przyczynił się COVID–19.</w:t>
      </w:r>
    </w:p>
    <w:p w:rsidR="00D00913" w:rsidRDefault="00D00913" w:rsidP="00D00913">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art. 52q p</w:t>
      </w:r>
      <w:r w:rsidRPr="00944EEF">
        <w:rPr>
          <w:rFonts w:ascii="Times New Roman" w:hAnsi="Times New Roman"/>
          <w:lang w:eastAsia="pl-PL"/>
        </w:rPr>
        <w:t>roponuje się umożliwienie podatnikom PIT, opłacającym w 2020 roku zaliczki miesięczne w formie uproszczonej na podstawie art. 44 ust. 6b–6i ustawy PIT, rezygnację z tej formy w odniesieniu do zaliczek należnych za okres marzec–maj 2020 roku. Zaliczki za te miesiące, podatnicy będą mogli obliczyć na ogólnych zasadach, uwzględniając zaliczki należne za poprzednie miesiące, które obliczone były w formie uproszczonej. Za kolejne miesiące, czyli czerwiec–grudzień 2020 roku, podatnicy opłacać będą zaliczki w formie uproszczonej. Rozwiązanie to dotyczyć będzie wyłącznie „małych podatników”, zdefiniowanych w art. 5a pkt 20 ustawy PIT. Podatnicy, którzy zdecydują się na to rozwiązanie, poinformują o tym w zeznaniu rocznym.</w:t>
      </w:r>
    </w:p>
    <w:p w:rsidR="003910C9" w:rsidRDefault="003910C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podatku dochodowym od osób prawnych:</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Art. 38f z</w:t>
      </w:r>
      <w:r w:rsidRPr="00F81C7C">
        <w:rPr>
          <w:rFonts w:ascii="Times New Roman" w:hAnsi="Times New Roman"/>
          <w:lang w:eastAsia="pl-PL"/>
        </w:rPr>
        <w:t>awiera analogiczne rozwiązania w zakresie rozliczania strat podatkowych za 2020 r. przez podatników podatku CIT, jak w przypadku rozwiązań proponowanych dla podatników podatku PIT</w:t>
      </w:r>
      <w:r>
        <w:rPr>
          <w:rFonts w:ascii="Times New Roman" w:hAnsi="Times New Roman"/>
          <w:lang w:eastAsia="pl-PL"/>
        </w:rPr>
        <w:t xml:space="preserve">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art. 38g p</w:t>
      </w:r>
      <w:r w:rsidRPr="00F81C7C">
        <w:rPr>
          <w:rFonts w:ascii="Times New Roman" w:hAnsi="Times New Roman"/>
          <w:lang w:eastAsia="pl-PL"/>
        </w:rPr>
        <w:t xml:space="preserve">roponuje się analogiczne zwolnienia od podatku CIT, </w:t>
      </w:r>
      <w:r>
        <w:rPr>
          <w:rFonts w:ascii="Times New Roman" w:hAnsi="Times New Roman"/>
          <w:lang w:eastAsia="pl-PL"/>
        </w:rPr>
        <w:t>jak w podatku PIT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 art. 38h p</w:t>
      </w:r>
      <w:r w:rsidRPr="00F81C7C">
        <w:rPr>
          <w:rFonts w:ascii="Times New Roman" w:hAnsi="Times New Roman"/>
          <w:lang w:eastAsia="pl-PL"/>
        </w:rPr>
        <w:t>roponuje się analogiczne zasady odliczania darowizn d</w:t>
      </w:r>
      <w:r>
        <w:rPr>
          <w:rFonts w:ascii="Times New Roman" w:hAnsi="Times New Roman"/>
          <w:lang w:eastAsia="pl-PL"/>
        </w:rPr>
        <w:t>la podatników podatku CIT jak w </w:t>
      </w:r>
      <w:r w:rsidRPr="00F81C7C">
        <w:rPr>
          <w:rFonts w:ascii="Times New Roman" w:hAnsi="Times New Roman"/>
          <w:lang w:eastAsia="pl-PL"/>
        </w:rPr>
        <w:t>p</w:t>
      </w:r>
      <w:r>
        <w:rPr>
          <w:rFonts w:ascii="Times New Roman" w:hAnsi="Times New Roman"/>
          <w:lang w:eastAsia="pl-PL"/>
        </w:rPr>
        <w:t>rzypadku podatników podatku PIT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sidRPr="00F81C7C">
        <w:rPr>
          <w:rFonts w:ascii="Times New Roman" w:hAnsi="Times New Roman"/>
          <w:lang w:eastAsia="pl-PL"/>
        </w:rPr>
        <w:t>Przepis</w:t>
      </w:r>
      <w:r>
        <w:rPr>
          <w:rFonts w:ascii="Times New Roman" w:hAnsi="Times New Roman"/>
          <w:lang w:eastAsia="pl-PL"/>
        </w:rPr>
        <w:t xml:space="preserve"> art. 38i</w:t>
      </w:r>
      <w:r w:rsidRPr="00F81C7C">
        <w:rPr>
          <w:rFonts w:ascii="Times New Roman" w:hAnsi="Times New Roman"/>
          <w:lang w:eastAsia="pl-PL"/>
        </w:rPr>
        <w:t xml:space="preserve"> zawiera odroczenie w płatności podatku od przychodów z budynków, na takich samych zasadach</w:t>
      </w:r>
      <w:r>
        <w:rPr>
          <w:rFonts w:ascii="Times New Roman" w:hAnsi="Times New Roman"/>
          <w:lang w:eastAsia="pl-PL"/>
        </w:rPr>
        <w:t xml:space="preserve"> jak w przypadku podatników PIT – patrz pkt wyżej.</w:t>
      </w:r>
    </w:p>
    <w:p w:rsidR="003910C9" w:rsidRPr="00F81C7C" w:rsidRDefault="003910C9" w:rsidP="003910C9">
      <w:pPr>
        <w:suppressAutoHyphens/>
        <w:autoSpaceDE w:val="0"/>
        <w:autoSpaceDN w:val="0"/>
        <w:adjustRightInd w:val="0"/>
        <w:spacing w:after="120" w:line="360" w:lineRule="auto"/>
        <w:jc w:val="both"/>
        <w:rPr>
          <w:rFonts w:ascii="Times New Roman" w:hAnsi="Times New Roman"/>
          <w:lang w:eastAsia="pl-PL"/>
        </w:rPr>
      </w:pPr>
      <w:r w:rsidRPr="00F81C7C">
        <w:rPr>
          <w:rFonts w:ascii="Times New Roman" w:hAnsi="Times New Roman"/>
          <w:lang w:eastAsia="pl-PL"/>
        </w:rPr>
        <w:t>Przepis</w:t>
      </w:r>
      <w:r>
        <w:rPr>
          <w:rFonts w:ascii="Times New Roman" w:hAnsi="Times New Roman"/>
          <w:lang w:eastAsia="pl-PL"/>
        </w:rPr>
        <w:t xml:space="preserve"> art. 38j</w:t>
      </w:r>
      <w:r w:rsidRPr="00F81C7C">
        <w:rPr>
          <w:rFonts w:ascii="Times New Roman" w:hAnsi="Times New Roman"/>
          <w:lang w:eastAsia="pl-PL"/>
        </w:rPr>
        <w:t xml:space="preserve"> zawiera analogiczne jak w przypadku podatników PIT rozwiązania w zakresie tzw. złych długów, z uwzględnieniem specyfiki tego podatku w zakresie </w:t>
      </w:r>
      <w:r>
        <w:rPr>
          <w:rFonts w:ascii="Times New Roman" w:hAnsi="Times New Roman"/>
          <w:lang w:eastAsia="pl-PL"/>
        </w:rPr>
        <w:t>roku podatkowego – patrz pkt wyżej.</w:t>
      </w:r>
    </w:p>
    <w:p w:rsidR="003910C9" w:rsidRDefault="003910C9" w:rsidP="003910C9">
      <w:pPr>
        <w:suppressAutoHyphens/>
        <w:autoSpaceDE w:val="0"/>
        <w:autoSpaceDN w:val="0"/>
        <w:adjustRightInd w:val="0"/>
        <w:spacing w:after="120" w:line="360" w:lineRule="auto"/>
        <w:jc w:val="both"/>
        <w:rPr>
          <w:rFonts w:ascii="Times New Roman" w:hAnsi="Times New Roman"/>
          <w:lang w:eastAsia="pl-PL"/>
        </w:rPr>
      </w:pPr>
      <w:r w:rsidRPr="00F81C7C">
        <w:rPr>
          <w:rFonts w:ascii="Times New Roman" w:hAnsi="Times New Roman"/>
          <w:lang w:eastAsia="pl-PL"/>
        </w:rPr>
        <w:t xml:space="preserve">W przepisie </w:t>
      </w:r>
      <w:r>
        <w:rPr>
          <w:rFonts w:ascii="Times New Roman" w:hAnsi="Times New Roman"/>
          <w:lang w:eastAsia="pl-PL"/>
        </w:rPr>
        <w:t>art. 38k</w:t>
      </w:r>
      <w:r w:rsidRPr="00F81C7C">
        <w:rPr>
          <w:rFonts w:ascii="Times New Roman" w:hAnsi="Times New Roman"/>
          <w:lang w:eastAsia="pl-PL"/>
        </w:rPr>
        <w:t xml:space="preserve"> zostały zaprojektowane analogiczne rozwiązania jak w ustawie PIT w zakresie zaliczek uproszczonych, z uwzględnieniem specyfiki tego podatk</w:t>
      </w:r>
      <w:r>
        <w:rPr>
          <w:rFonts w:ascii="Times New Roman" w:hAnsi="Times New Roman"/>
          <w:lang w:eastAsia="pl-PL"/>
        </w:rPr>
        <w:t>u w zakresie roku podatkowego – patrz pkt wyżej.</w:t>
      </w:r>
    </w:p>
    <w:p w:rsidR="003910C9" w:rsidRPr="00830EF7" w:rsidRDefault="003910C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ustawie </w:t>
      </w:r>
      <w:r w:rsidRPr="00830EF7">
        <w:rPr>
          <w:rFonts w:ascii="Times New Roman" w:hAnsi="Times New Roman"/>
          <w:b/>
          <w:bCs/>
          <w:lang w:eastAsia="pl-PL"/>
        </w:rPr>
        <w:t>o gwarantowanych przez Skarb Państwa ubezpieczeniach eksportowych</w:t>
      </w:r>
      <w:r>
        <w:rPr>
          <w:rFonts w:ascii="Times New Roman" w:hAnsi="Times New Roman"/>
          <w:b/>
          <w:bCs/>
          <w:lang w:eastAsia="pl-PL"/>
        </w:rPr>
        <w:t>:</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Zmieniony punkt rozszerza i otwiera katalog instrumentów i przypadków, które mogą zostać ubezpieczone przez K</w:t>
      </w:r>
      <w:r>
        <w:rPr>
          <w:rFonts w:ascii="Times New Roman" w:hAnsi="Times New Roman"/>
        </w:rPr>
        <w:t>orporację Ubezpieczeń Kredytów Eksportowych (KUKE)</w:t>
      </w:r>
      <w:r w:rsidRPr="00830EF7">
        <w:rPr>
          <w:rFonts w:ascii="Times New Roman" w:hAnsi="Times New Roman"/>
        </w:rPr>
        <w:t>. Od 1994 r</w:t>
      </w:r>
      <w:r>
        <w:rPr>
          <w:rFonts w:ascii="Times New Roman" w:hAnsi="Times New Roman"/>
        </w:rPr>
        <w:t>.</w:t>
      </w:r>
      <w:r w:rsidRPr="00830EF7">
        <w:rPr>
          <w:rFonts w:ascii="Times New Roman" w:hAnsi="Times New Roman"/>
        </w:rPr>
        <w:t xml:space="preserve"> znaczenie zwiększył się zakres instrumentów fina</w:t>
      </w:r>
      <w:r>
        <w:rPr>
          <w:rFonts w:ascii="Times New Roman" w:hAnsi="Times New Roman"/>
        </w:rPr>
        <w:t>nsowych wykorzystywanych przez polskie przedsiębiorstwa, a </w:t>
      </w:r>
      <w:r w:rsidRPr="00830EF7">
        <w:rPr>
          <w:rFonts w:ascii="Times New Roman" w:hAnsi="Times New Roman"/>
        </w:rPr>
        <w:t xml:space="preserve">jednocześnie wiele transakcji eksportowych o charakterze długoterminowym wymagają </w:t>
      </w:r>
      <w:r w:rsidRPr="00830EF7">
        <w:rPr>
          <w:rFonts w:ascii="Times New Roman" w:hAnsi="Times New Roman"/>
        </w:rPr>
        <w:lastRenderedPageBreak/>
        <w:t>wykorzystywania bardziej skomplikowanych struktur. Zwiększenie tego zakresu pozwoli na szersze zastosowanie ubezpieczenia gwarantowanego przez Skarb Państwa, a jego otwarcie pozwoli reagować na bieżąco, na wszystkie zmiany rynkowe, bez k</w:t>
      </w:r>
      <w:r>
        <w:rPr>
          <w:rFonts w:ascii="Times New Roman" w:hAnsi="Times New Roman"/>
        </w:rPr>
        <w:t xml:space="preserve">onieczności modyfikacji ustawy o gwarantowanych przez Skarb Państwa </w:t>
      </w:r>
      <w:r w:rsidRPr="00830EF7">
        <w:rPr>
          <w:rFonts w:ascii="Times New Roman" w:hAnsi="Times New Roman"/>
        </w:rPr>
        <w:t>ubezpieczeniach eksportowych</w:t>
      </w:r>
      <w:r>
        <w:rPr>
          <w:rFonts w:ascii="Times New Roman" w:hAnsi="Times New Roman"/>
        </w:rPr>
        <w:t>.</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Należy zaznaczyć, że projekt przewiduje objęcie ubezpieczeniem eksportowym:</w:t>
      </w:r>
    </w:p>
    <w:p w:rsidR="003910C9" w:rsidRPr="00830EF7" w:rsidRDefault="003910C9" w:rsidP="00B00620">
      <w:pPr>
        <w:pStyle w:val="Akapitzlist"/>
        <w:numPr>
          <w:ilvl w:val="0"/>
          <w:numId w:val="18"/>
        </w:numPr>
        <w:spacing w:after="120" w:line="360" w:lineRule="auto"/>
        <w:contextualSpacing/>
        <w:jc w:val="both"/>
        <w:rPr>
          <w:rFonts w:ascii="Times New Roman" w:hAnsi="Times New Roman"/>
        </w:rPr>
      </w:pPr>
      <w:r w:rsidRPr="00830EF7">
        <w:rPr>
          <w:rFonts w:ascii="Times New Roman" w:hAnsi="Times New Roman"/>
        </w:rPr>
        <w:t>kredytów udzielanych przedsiębiorcom zależnym w sytuacjach, gdy ubezpieczenie takie będzie dotyczyć bezpośrednio sprzedaży towarów lub świadczenia usług przez przedsiębiorcę zależnego.</w:t>
      </w:r>
    </w:p>
    <w:p w:rsidR="003910C9" w:rsidRPr="00830EF7" w:rsidRDefault="003910C9" w:rsidP="00B00620">
      <w:pPr>
        <w:pStyle w:val="Akapitzlist"/>
        <w:numPr>
          <w:ilvl w:val="0"/>
          <w:numId w:val="18"/>
        </w:numPr>
        <w:spacing w:after="120" w:line="360" w:lineRule="auto"/>
        <w:contextualSpacing/>
        <w:jc w:val="both"/>
        <w:rPr>
          <w:rFonts w:ascii="Times New Roman" w:hAnsi="Times New Roman"/>
        </w:rPr>
      </w:pPr>
      <w:r w:rsidRPr="00830EF7">
        <w:rPr>
          <w:rFonts w:ascii="Times New Roman" w:hAnsi="Times New Roman"/>
        </w:rPr>
        <w:t>kredytów obrotowych i inwestycyjnych, jak również innych instrumentów o charakterze finansowym wskazanych w projekcie, udzielanych na cele dokonania lub rozszerzenia inwestycji zagranicznych przeds</w:t>
      </w:r>
      <w:r>
        <w:rPr>
          <w:rFonts w:ascii="Times New Roman" w:hAnsi="Times New Roman"/>
        </w:rPr>
        <w:t>iębiorców krajowych za granicą.</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Dotychczas udzielenie ubezpieczenia eksportowego dla tego rodzaju kredytów i innych instrumentów o charakterze finansowym nie było możliwe.</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Tym samym, dzięki wprowadzonej zmianie KUKE będzie mogło lepiej odpowiadać na potrzeby różnych branż, np. branży transportowej dzięki rozszerzeniu katalogu ubezpieczanych instrumentów finansowych m.in. o leasing.</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Projekt umożliwia wprowadzenie do obrotu nowego produktu. W związku z tym, na obecnym etapie nie narusza obowiązków wynikających z prawa Unii Europejskiej, dotyczących notyfikowania Komisji Europejskiej określonych produktów w celu weryfikacji zgodności z zasadami pomocy publicznej. Zakłada się, że jeżeli oferowanie nowego produktu w ocenie KUKE wymagać będzie uprzedniego notyfikowania go do Komisji Europejskiej i uzyskania jej zgody, udostępnienie go potencjalnym klientom zostanie poprzedzone taką notyfikacją i będzie uzależnione od uzyskania pozytywnej decyzji Komisji Europejskiej.</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Wiele z transakcji o charakterze międzynarodowym realizowanych jest przez polskich przedsiębiorców w konsorcjach bądź jako poddostawca dla innego zagranicznego podmiotu realizującego główny kontrakt. W takich sytuacjach istotnym wzmocnieniem pozycji polskiego przedsiębiorstwa w</w:t>
      </w:r>
      <w:r>
        <w:rPr>
          <w:rFonts w:ascii="Times New Roman" w:hAnsi="Times New Roman"/>
        </w:rPr>
        <w:t xml:space="preserve"> </w:t>
      </w:r>
      <w:r w:rsidRPr="00830EF7">
        <w:rPr>
          <w:rFonts w:ascii="Times New Roman" w:hAnsi="Times New Roman"/>
        </w:rPr>
        <w:t>kontrakcie jest umożliwienie finansowania części związanej z jego usługą/produktem. Obecnie jest to niemożliwe bez ubezpieczenia KUKE. Przy tych największych kontraktach, często koni</w:t>
      </w:r>
      <w:r>
        <w:rPr>
          <w:rFonts w:ascii="Times New Roman" w:hAnsi="Times New Roman"/>
        </w:rPr>
        <w:t>eczna jest współpraca z innymi agencjami kredytów eksportowych. Wprowadzony punkt umożliwia i ułatwia taką współpracę.</w:t>
      </w:r>
    </w:p>
    <w:p w:rsidR="003910C9" w:rsidRPr="00830EF7" w:rsidRDefault="003910C9" w:rsidP="003910C9">
      <w:pPr>
        <w:spacing w:after="120" w:line="360" w:lineRule="auto"/>
        <w:jc w:val="both"/>
        <w:rPr>
          <w:rFonts w:ascii="Times New Roman" w:hAnsi="Times New Roman"/>
        </w:rPr>
      </w:pPr>
      <w:r>
        <w:rPr>
          <w:rFonts w:ascii="Times New Roman" w:hAnsi="Times New Roman"/>
          <w:bCs/>
        </w:rPr>
        <w:t>W związku z COVID-19, n</w:t>
      </w:r>
      <w:r w:rsidRPr="00830EF7">
        <w:rPr>
          <w:rFonts w:ascii="Times New Roman" w:hAnsi="Times New Roman"/>
        </w:rPr>
        <w:t xml:space="preserve">p. </w:t>
      </w:r>
      <w:r>
        <w:rPr>
          <w:rFonts w:ascii="Times New Roman" w:hAnsi="Times New Roman"/>
        </w:rPr>
        <w:t>u</w:t>
      </w:r>
      <w:r w:rsidRPr="00830EF7">
        <w:rPr>
          <w:rFonts w:ascii="Times New Roman" w:hAnsi="Times New Roman"/>
        </w:rPr>
        <w:t>bezpieczeniem będą mogły zostać objęte portfele kredytowe instytucji finansowych dla branż oraz przedsiębiorstw, których głównym obszarem działalności jest eksport dóbr i usług, dla nowych linii finansowych. Dzięki czemu będzie mogło być dostarczane nowe finansowanie, które jest niezbędne dla utrzymania</w:t>
      </w:r>
      <w:r>
        <w:rPr>
          <w:rFonts w:ascii="Times New Roman" w:hAnsi="Times New Roman"/>
        </w:rPr>
        <w:t xml:space="preserve"> działalności wielu firm.</w:t>
      </w:r>
    </w:p>
    <w:p w:rsidR="003910C9" w:rsidRDefault="003910C9" w:rsidP="003910C9">
      <w:pPr>
        <w:spacing w:after="120" w:line="360" w:lineRule="auto"/>
        <w:jc w:val="both"/>
        <w:rPr>
          <w:rFonts w:ascii="Times New Roman" w:hAnsi="Times New Roman"/>
        </w:rPr>
      </w:pPr>
      <w:r w:rsidRPr="00830EF7">
        <w:rPr>
          <w:rFonts w:ascii="Times New Roman" w:hAnsi="Times New Roman"/>
        </w:rPr>
        <w:lastRenderedPageBreak/>
        <w:t xml:space="preserve">Art. 2 ust. 1 </w:t>
      </w:r>
      <w:r>
        <w:rPr>
          <w:rFonts w:ascii="Times New Roman" w:hAnsi="Times New Roman"/>
        </w:rPr>
        <w:t>w jasny</w:t>
      </w:r>
      <w:r w:rsidRPr="00830EF7">
        <w:rPr>
          <w:rFonts w:ascii="Times New Roman" w:hAnsi="Times New Roman"/>
        </w:rPr>
        <w:t xml:space="preserve"> </w:t>
      </w:r>
      <w:r>
        <w:rPr>
          <w:rFonts w:ascii="Times New Roman" w:hAnsi="Times New Roman"/>
        </w:rPr>
        <w:t xml:space="preserve">sposób </w:t>
      </w:r>
      <w:r w:rsidRPr="00830EF7">
        <w:rPr>
          <w:rFonts w:ascii="Times New Roman" w:hAnsi="Times New Roman"/>
        </w:rPr>
        <w:t>definiuje jaki jest główny cel ubezpieczeń eksportowych gwar</w:t>
      </w:r>
      <w:r>
        <w:rPr>
          <w:rFonts w:ascii="Times New Roman" w:hAnsi="Times New Roman"/>
        </w:rPr>
        <w:t>antowanych przez Skarb Państwa.</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Cel</w:t>
      </w:r>
      <w:r>
        <w:rPr>
          <w:rFonts w:ascii="Times New Roman" w:hAnsi="Times New Roman"/>
        </w:rPr>
        <w:t>em jest rozszerzenie</w:t>
      </w:r>
      <w:r w:rsidRPr="00830EF7">
        <w:rPr>
          <w:rFonts w:ascii="Times New Roman" w:hAnsi="Times New Roman"/>
        </w:rPr>
        <w:t xml:space="preserve"> zakresu wsparcia ubezpieczeniem. Zgodnie z założeniem Strategii </w:t>
      </w:r>
      <w:r>
        <w:rPr>
          <w:rFonts w:ascii="Times New Roman" w:hAnsi="Times New Roman"/>
        </w:rPr>
        <w:t xml:space="preserve">na rzecz </w:t>
      </w:r>
      <w:r w:rsidRPr="00830EF7">
        <w:rPr>
          <w:rFonts w:ascii="Times New Roman" w:hAnsi="Times New Roman"/>
        </w:rPr>
        <w:t xml:space="preserve">Odpowiedzialnego Rozwoju, celem jest rozwój nie tylko eksportu, ale również ekspansji zagranicznej polskich przedsiębiorców. Projekt zapisów do ustawy, zarówno w </w:t>
      </w:r>
      <w:r>
        <w:rPr>
          <w:rFonts w:ascii="Times New Roman" w:hAnsi="Times New Roman"/>
        </w:rPr>
        <w:t>a</w:t>
      </w:r>
      <w:r w:rsidRPr="00830EF7">
        <w:rPr>
          <w:rFonts w:ascii="Times New Roman" w:hAnsi="Times New Roman"/>
        </w:rPr>
        <w:t xml:space="preserve">rt. 2, jak i </w:t>
      </w:r>
      <w:r>
        <w:rPr>
          <w:rFonts w:ascii="Times New Roman" w:hAnsi="Times New Roman"/>
        </w:rPr>
        <w:t>a</w:t>
      </w:r>
      <w:r w:rsidRPr="00830EF7">
        <w:rPr>
          <w:rFonts w:ascii="Times New Roman" w:hAnsi="Times New Roman"/>
        </w:rPr>
        <w:t>rt. 6 znacznie uelastycznia wsparcie ubezpieczeniem wzmacniając właśnie to założenie.</w:t>
      </w:r>
    </w:p>
    <w:p w:rsidR="003910C9" w:rsidRPr="00830EF7" w:rsidRDefault="003910C9" w:rsidP="003910C9">
      <w:pPr>
        <w:spacing w:after="120" w:line="360" w:lineRule="auto"/>
        <w:jc w:val="both"/>
        <w:rPr>
          <w:rFonts w:ascii="Times New Roman" w:hAnsi="Times New Roman"/>
        </w:rPr>
      </w:pPr>
      <w:r>
        <w:rPr>
          <w:rFonts w:ascii="Times New Roman" w:hAnsi="Times New Roman"/>
        </w:rPr>
        <w:t>Art. 6 z</w:t>
      </w:r>
      <w:r w:rsidRPr="00830EF7">
        <w:rPr>
          <w:rFonts w:ascii="Times New Roman" w:hAnsi="Times New Roman"/>
        </w:rPr>
        <w:t>awiera postanowienie o wymogu spełnienia przez ubezpieczającego krajowości wywożonych za granicę towarów lub usług (dalej „wymóg krajowości”) wraz z odstępstwami od tego wymogu w przypadku</w:t>
      </w:r>
      <w:r>
        <w:rPr>
          <w:rFonts w:ascii="Times New Roman" w:hAnsi="Times New Roman"/>
        </w:rPr>
        <w:t xml:space="preserve"> gdy</w:t>
      </w:r>
      <w:r w:rsidRPr="00830EF7">
        <w:rPr>
          <w:rFonts w:ascii="Times New Roman" w:hAnsi="Times New Roman"/>
        </w:rPr>
        <w:t>:</w:t>
      </w:r>
    </w:p>
    <w:p w:rsidR="003910C9" w:rsidRPr="00830EF7" w:rsidRDefault="003910C9" w:rsidP="00B00620">
      <w:pPr>
        <w:pStyle w:val="Akapitzlist"/>
        <w:numPr>
          <w:ilvl w:val="0"/>
          <w:numId w:val="19"/>
        </w:numPr>
        <w:spacing w:after="120" w:line="360" w:lineRule="auto"/>
        <w:contextualSpacing/>
        <w:jc w:val="both"/>
        <w:rPr>
          <w:rFonts w:ascii="Times New Roman" w:hAnsi="Times New Roman"/>
        </w:rPr>
      </w:pPr>
      <w:r w:rsidRPr="00830EF7">
        <w:rPr>
          <w:rFonts w:ascii="Times New Roman" w:hAnsi="Times New Roman"/>
        </w:rPr>
        <w:t>kontrakt eksportowy został zawarty na okres ryzyka krótszy niż dwa lata;</w:t>
      </w:r>
    </w:p>
    <w:p w:rsidR="003910C9" w:rsidRPr="00830EF7" w:rsidRDefault="003910C9" w:rsidP="00B00620">
      <w:pPr>
        <w:pStyle w:val="Akapitzlist"/>
        <w:numPr>
          <w:ilvl w:val="0"/>
          <w:numId w:val="19"/>
        </w:numPr>
        <w:spacing w:after="120" w:line="360" w:lineRule="auto"/>
        <w:contextualSpacing/>
        <w:jc w:val="both"/>
        <w:rPr>
          <w:rFonts w:ascii="Times New Roman" w:hAnsi="Times New Roman"/>
        </w:rPr>
      </w:pPr>
      <w:r w:rsidRPr="00830EF7">
        <w:rPr>
          <w:rFonts w:ascii="Times New Roman" w:hAnsi="Times New Roman"/>
        </w:rPr>
        <w:t>jest ono związane ze interesem Rzeczypospolitej Polskiej.</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Przewidując rozwój polskiego eksportu w kolejnych latach, z czym powinna się wiązać zdolność gospodarki polskiej do wytwarzania dóbr o coraz bardziej złożonym charakterze, przewidziano odstępstwa od wymogu krajowości, wprowadzając możliwość udzielenia ubezpieczenia eksportowego również w sytuacji, gdy ubezpieczana transakcja mimo niespełnienia tego wymogu zasługuje na wsparcie ze w</w:t>
      </w:r>
      <w:r>
        <w:rPr>
          <w:rFonts w:ascii="Times New Roman" w:hAnsi="Times New Roman"/>
        </w:rPr>
        <w:t>zględu na szczególny interes R</w:t>
      </w:r>
      <w:r w:rsidRPr="00830EF7">
        <w:rPr>
          <w:rFonts w:ascii="Times New Roman" w:hAnsi="Times New Roman"/>
        </w:rPr>
        <w:t>P. Katalog sytuacji, w których tego rodzaju interes może występować, jest otwarty. Projekt ustawy wskazuje w tym kontekście na zapewnienie zrównoważonego rozwoju społeczno-gospodarczego, wzrostu lub utrzymania zatrudnienia, zwiększenia konkurencyjności lub innowacyjności gospodarki polskiej.</w:t>
      </w:r>
    </w:p>
    <w:p w:rsidR="003910C9" w:rsidRPr="00830EF7" w:rsidRDefault="003910C9" w:rsidP="003910C9">
      <w:pPr>
        <w:pStyle w:val="Default"/>
        <w:spacing w:after="120" w:line="360" w:lineRule="auto"/>
        <w:jc w:val="both"/>
        <w:rPr>
          <w:rFonts w:ascii="Times New Roman" w:hAnsi="Times New Roman" w:cs="Times New Roman"/>
          <w:color w:val="auto"/>
          <w:sz w:val="22"/>
          <w:szCs w:val="22"/>
        </w:rPr>
      </w:pPr>
      <w:r w:rsidRPr="00830EF7">
        <w:rPr>
          <w:rFonts w:ascii="Times New Roman" w:hAnsi="Times New Roman" w:cs="Times New Roman"/>
          <w:sz w:val="22"/>
          <w:szCs w:val="22"/>
        </w:rPr>
        <w:t>Uzupełnienie</w:t>
      </w:r>
      <w:r>
        <w:rPr>
          <w:rFonts w:ascii="Times New Roman" w:hAnsi="Times New Roman" w:cs="Times New Roman"/>
          <w:sz w:val="22"/>
          <w:szCs w:val="22"/>
        </w:rPr>
        <w:t xml:space="preserve"> definicji krajowości (a</w:t>
      </w:r>
      <w:r w:rsidRPr="00830EF7">
        <w:rPr>
          <w:rFonts w:ascii="Times New Roman" w:hAnsi="Times New Roman" w:cs="Times New Roman"/>
          <w:sz w:val="22"/>
          <w:szCs w:val="22"/>
        </w:rPr>
        <w:t>rt.6) na rzecz wartości firmy dla gospodarki polskiej (zgodnie z podejściem prezentowanym przez Duńczyków, Włochów, Norwegów) umożliwi szersze wsparcie d</w:t>
      </w:r>
      <w:r w:rsidRPr="00830EF7">
        <w:rPr>
          <w:rFonts w:ascii="Times New Roman" w:hAnsi="Times New Roman" w:cs="Times New Roman"/>
          <w:color w:val="auto"/>
          <w:sz w:val="22"/>
          <w:szCs w:val="22"/>
        </w:rPr>
        <w:t>la Polskich firm dostarczających wartość dodaną dla Polski również wówczas, gdy eksportowana usługa/towar nie spełnia obecnego warunku krajowości. Zmiana wpłynie i umożliw</w:t>
      </w:r>
      <w:r>
        <w:rPr>
          <w:rFonts w:ascii="Times New Roman" w:hAnsi="Times New Roman" w:cs="Times New Roman"/>
          <w:color w:val="auto"/>
          <w:sz w:val="22"/>
          <w:szCs w:val="22"/>
        </w:rPr>
        <w:t>i pomoc polskim firmom poprzez:</w:t>
      </w:r>
    </w:p>
    <w:p w:rsidR="003910C9" w:rsidRPr="00830EF7" w:rsidRDefault="003910C9" w:rsidP="00B00620">
      <w:pPr>
        <w:pStyle w:val="Default"/>
        <w:numPr>
          <w:ilvl w:val="0"/>
          <w:numId w:val="20"/>
        </w:numPr>
        <w:spacing w:after="120" w:line="360" w:lineRule="auto"/>
        <w:jc w:val="both"/>
        <w:rPr>
          <w:rFonts w:ascii="Times New Roman" w:hAnsi="Times New Roman" w:cs="Times New Roman"/>
          <w:color w:val="auto"/>
          <w:sz w:val="22"/>
          <w:szCs w:val="22"/>
        </w:rPr>
      </w:pPr>
      <w:r w:rsidRPr="00830EF7">
        <w:rPr>
          <w:rFonts w:ascii="Times New Roman" w:hAnsi="Times New Roman" w:cs="Times New Roman"/>
          <w:color w:val="auto"/>
          <w:sz w:val="22"/>
          <w:szCs w:val="22"/>
        </w:rPr>
        <w:t xml:space="preserve">możliwość ubezpieczania sprzedaży szerszej gamy produktów i usług, co w szczególności pomoże takim branżom jak branża odzieżowa i obuwnicza, elektroniczna i wszystkie </w:t>
      </w:r>
      <w:r>
        <w:rPr>
          <w:rFonts w:ascii="Times New Roman" w:hAnsi="Times New Roman" w:cs="Times New Roman"/>
          <w:color w:val="auto"/>
          <w:sz w:val="22"/>
          <w:szCs w:val="22"/>
        </w:rPr>
        <w:t>inne zajmujące się reeksportem,</w:t>
      </w:r>
    </w:p>
    <w:p w:rsidR="003910C9" w:rsidRPr="00830EF7" w:rsidRDefault="003910C9" w:rsidP="00B00620">
      <w:pPr>
        <w:pStyle w:val="Default"/>
        <w:numPr>
          <w:ilvl w:val="0"/>
          <w:numId w:val="20"/>
        </w:numPr>
        <w:spacing w:after="120" w:line="360" w:lineRule="auto"/>
        <w:jc w:val="both"/>
        <w:rPr>
          <w:rFonts w:ascii="Times New Roman" w:hAnsi="Times New Roman" w:cs="Times New Roman"/>
          <w:color w:val="auto"/>
          <w:sz w:val="22"/>
          <w:szCs w:val="22"/>
        </w:rPr>
      </w:pPr>
      <w:r w:rsidRPr="00830EF7">
        <w:rPr>
          <w:rFonts w:ascii="Times New Roman" w:hAnsi="Times New Roman" w:cs="Times New Roman"/>
          <w:color w:val="auto"/>
          <w:sz w:val="22"/>
          <w:szCs w:val="22"/>
        </w:rPr>
        <w:t>możliwość ubezpieczania finansowania projektów krajowych w tym ubezpieczenie chociażby leasingu dla branży transportowej, czy kredytów inwestyc</w:t>
      </w:r>
      <w:r>
        <w:rPr>
          <w:rFonts w:ascii="Times New Roman" w:hAnsi="Times New Roman" w:cs="Times New Roman"/>
          <w:color w:val="auto"/>
          <w:sz w:val="22"/>
          <w:szCs w:val="22"/>
        </w:rPr>
        <w:t>yjnych dla branży hotelarskiej,</w:t>
      </w:r>
    </w:p>
    <w:p w:rsidR="003910C9" w:rsidRPr="00830EF7" w:rsidRDefault="003910C9" w:rsidP="00B00620">
      <w:pPr>
        <w:pStyle w:val="Default"/>
        <w:numPr>
          <w:ilvl w:val="0"/>
          <w:numId w:val="20"/>
        </w:numPr>
        <w:spacing w:after="120" w:line="360" w:lineRule="auto"/>
        <w:jc w:val="both"/>
        <w:rPr>
          <w:rFonts w:ascii="Times New Roman" w:hAnsi="Times New Roman" w:cs="Times New Roman"/>
          <w:color w:val="auto"/>
          <w:sz w:val="22"/>
          <w:szCs w:val="22"/>
        </w:rPr>
      </w:pPr>
      <w:r w:rsidRPr="00830EF7">
        <w:rPr>
          <w:rFonts w:ascii="Times New Roman" w:hAnsi="Times New Roman" w:cs="Times New Roman"/>
          <w:color w:val="auto"/>
          <w:sz w:val="22"/>
          <w:szCs w:val="22"/>
        </w:rPr>
        <w:t>możliwość ubezpieczania łańcucha dostaw oraz „working capital” – możliwość dostarczania płynności poddostawcom polskich firm realizujących projekty o charakterze inwestycyjnym; możliwość ubezpieczania finansowania projektów, których składowe lub usługi pochodzą z </w:t>
      </w:r>
      <w:r>
        <w:rPr>
          <w:rFonts w:ascii="Times New Roman" w:hAnsi="Times New Roman" w:cs="Times New Roman"/>
          <w:color w:val="auto"/>
          <w:sz w:val="22"/>
          <w:szCs w:val="22"/>
        </w:rPr>
        <w:t>Polski,</w:t>
      </w:r>
    </w:p>
    <w:p w:rsidR="003910C9" w:rsidRPr="00830EF7" w:rsidRDefault="003910C9" w:rsidP="00B00620">
      <w:pPr>
        <w:pStyle w:val="Akapitzlist"/>
        <w:numPr>
          <w:ilvl w:val="0"/>
          <w:numId w:val="21"/>
        </w:numPr>
        <w:spacing w:after="120" w:line="360" w:lineRule="auto"/>
        <w:contextualSpacing/>
        <w:jc w:val="both"/>
        <w:rPr>
          <w:rFonts w:ascii="Times New Roman" w:hAnsi="Times New Roman"/>
        </w:rPr>
      </w:pPr>
      <w:r w:rsidRPr="00830EF7">
        <w:rPr>
          <w:rFonts w:ascii="Times New Roman" w:hAnsi="Times New Roman"/>
        </w:rPr>
        <w:lastRenderedPageBreak/>
        <w:t>dostarczenie dodatkowej płynności poprzez spółki faktoringowe w oparciu o ubezpieczenie należności eksportowych KUKE.</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bCs/>
        </w:rPr>
        <w:t>W</w:t>
      </w:r>
      <w:r>
        <w:rPr>
          <w:rFonts w:ascii="Times New Roman" w:hAnsi="Times New Roman"/>
          <w:bCs/>
        </w:rPr>
        <w:t xml:space="preserve"> związku z COVID-19 umożliwia się</w:t>
      </w:r>
      <w:r w:rsidRPr="00830EF7">
        <w:rPr>
          <w:rFonts w:ascii="Times New Roman" w:hAnsi="Times New Roman"/>
        </w:rPr>
        <w:t xml:space="preserve"> finansowani</w:t>
      </w:r>
      <w:r>
        <w:rPr>
          <w:rFonts w:ascii="Times New Roman" w:hAnsi="Times New Roman"/>
        </w:rPr>
        <w:t>e</w:t>
      </w:r>
      <w:r w:rsidRPr="00830EF7">
        <w:rPr>
          <w:rFonts w:ascii="Times New Roman" w:hAnsi="Times New Roman"/>
        </w:rPr>
        <w:t xml:space="preserve"> również </w:t>
      </w:r>
      <w:r>
        <w:rPr>
          <w:rFonts w:ascii="Times New Roman" w:hAnsi="Times New Roman"/>
        </w:rPr>
        <w:t>wtedy</w:t>
      </w:r>
      <w:r w:rsidRPr="00830EF7">
        <w:rPr>
          <w:rFonts w:ascii="Times New Roman" w:hAnsi="Times New Roman"/>
        </w:rPr>
        <w:t xml:space="preserve">, gdy nie jest spełniony warunek krajowości, </w:t>
      </w:r>
      <w:r>
        <w:rPr>
          <w:rFonts w:ascii="Times New Roman" w:hAnsi="Times New Roman"/>
        </w:rPr>
        <w:t xml:space="preserve">a także </w:t>
      </w:r>
      <w:r w:rsidRPr="00830EF7">
        <w:rPr>
          <w:rFonts w:ascii="Times New Roman" w:hAnsi="Times New Roman"/>
        </w:rPr>
        <w:t>gdy przedsiębiorstwo l</w:t>
      </w:r>
      <w:r>
        <w:rPr>
          <w:rFonts w:ascii="Times New Roman" w:hAnsi="Times New Roman"/>
        </w:rPr>
        <w:t>ub transakcja ma znaczenie dla i</w:t>
      </w:r>
      <w:r w:rsidRPr="00830EF7">
        <w:rPr>
          <w:rFonts w:ascii="Times New Roman" w:hAnsi="Times New Roman"/>
        </w:rPr>
        <w:t xml:space="preserve">nteresu </w:t>
      </w:r>
      <w:r>
        <w:rPr>
          <w:rFonts w:ascii="Times New Roman" w:hAnsi="Times New Roman"/>
        </w:rPr>
        <w:t>n</w:t>
      </w:r>
      <w:r w:rsidRPr="00830EF7">
        <w:rPr>
          <w:rFonts w:ascii="Times New Roman" w:hAnsi="Times New Roman"/>
        </w:rPr>
        <w:t xml:space="preserve">arodowego, co </w:t>
      </w:r>
      <w:r>
        <w:rPr>
          <w:rFonts w:ascii="Times New Roman" w:hAnsi="Times New Roman"/>
        </w:rPr>
        <w:t>zapewni</w:t>
      </w:r>
      <w:r w:rsidRPr="00830EF7">
        <w:rPr>
          <w:rFonts w:ascii="Times New Roman" w:hAnsi="Times New Roman"/>
        </w:rPr>
        <w:t xml:space="preserve"> szersze wsparcie potrzeb polskich przedsiębiorców, w szczególności gdy nie mogą obecnie otrzymać takiego wsparcia na rynku komercyjnym.</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Art. 6f adresuje postulat zgłaszany przez instytucje finansujące, zainteresowane uczestnictwem w ubezpieczeniach eksportowych. Przepisy tego ustępu mają na celu nieobciążanie instytucji finansowych ryzykiem braku dochowania wymogu krajowości, złamania zakazu przekupstwa, czy też braku dopełnienia innych obowiązków dotyczących eksportera lub przedsiębiorcy zależnego, wynikających z Konsensusu OECD, w sytuacji, gdy instytucje finansowe nie mają wpływu na ich spełnienie. Spełnienie tych wymogów zależy bowiem od działalności eksportera (względnie przedsiębiorcy zależnego). W praktyce instytucje finansowe zawierają z eksporterem umowy bezpośrednie, na podstawie których eksporter zobowiązuje się do dochowania wymogu krajowości, co jednak nie adresuje w pełni ryzyka, ponieważ takie zobowiązanie może zostać naruszone przez eksportera. Na podstawie nowej ustawy umowę bezpośrednią, o której mowa powyżej, będzie mogła zawrzeć z eksporterem (a także z zagranicznym przedsiębiorcą zal</w:t>
      </w:r>
      <w:r>
        <w:rPr>
          <w:rFonts w:ascii="Times New Roman" w:hAnsi="Times New Roman"/>
        </w:rPr>
        <w:t>eżnym) Korporacja, przejmując w </w:t>
      </w:r>
      <w:r w:rsidRPr="00830EF7">
        <w:rPr>
          <w:rFonts w:ascii="Times New Roman" w:hAnsi="Times New Roman"/>
        </w:rPr>
        <w:t>ten sposób ryzyko, o którym mowa powyżej.</w:t>
      </w:r>
    </w:p>
    <w:p w:rsidR="003910C9" w:rsidRPr="00830EF7" w:rsidRDefault="003910C9" w:rsidP="003910C9">
      <w:pPr>
        <w:spacing w:after="120" w:line="360" w:lineRule="auto"/>
        <w:jc w:val="both"/>
        <w:rPr>
          <w:rFonts w:ascii="Times New Roman" w:hAnsi="Times New Roman"/>
        </w:rPr>
      </w:pPr>
      <w:r w:rsidRPr="00830EF7">
        <w:rPr>
          <w:rFonts w:ascii="Times New Roman" w:hAnsi="Times New Roman"/>
        </w:rPr>
        <w:t>Zmiany te obniżają ryzyko banków związane z finansowaniem transakcji eksportowych, a tym samym zakłada się, że jej wprowadzenie zachęci instytucje finansowe do szerszego finansowania typu export finance. Obecnie bardzo niewiele banków się na to decyduje, a te które takie transakcje realizują robią to na relatywnie nie dużą skalę. Wszystkie zaprojektowane zapisy mają na celu rozpowszechnienie tematu export finance wśród instytucji finansowych co w obliczu C</w:t>
      </w:r>
      <w:r>
        <w:rPr>
          <w:rFonts w:ascii="Times New Roman" w:hAnsi="Times New Roman"/>
        </w:rPr>
        <w:t>OVID</w:t>
      </w:r>
      <w:r w:rsidRPr="00830EF7">
        <w:rPr>
          <w:rFonts w:ascii="Times New Roman" w:hAnsi="Times New Roman"/>
        </w:rPr>
        <w:t>-19 ma szczególne znaczenie.</w:t>
      </w:r>
    </w:p>
    <w:p w:rsidR="003910C9" w:rsidRPr="00830EF7" w:rsidRDefault="003910C9" w:rsidP="003910C9">
      <w:pPr>
        <w:spacing w:after="120" w:line="360" w:lineRule="auto"/>
        <w:jc w:val="both"/>
        <w:rPr>
          <w:rFonts w:ascii="Times New Roman" w:eastAsia="Times New Roman" w:hAnsi="Times New Roman"/>
          <w:szCs w:val="24"/>
          <w:lang w:eastAsia="pl-PL"/>
        </w:rPr>
      </w:pPr>
      <w:r w:rsidRPr="00830EF7">
        <w:rPr>
          <w:rFonts w:ascii="Times New Roman" w:eastAsia="Times New Roman" w:hAnsi="Times New Roman"/>
          <w:szCs w:val="24"/>
          <w:lang w:eastAsia="pl-PL"/>
        </w:rPr>
        <w:t>Zmiana</w:t>
      </w:r>
      <w:r>
        <w:rPr>
          <w:rFonts w:ascii="Times New Roman" w:eastAsia="Times New Roman" w:hAnsi="Times New Roman"/>
          <w:szCs w:val="24"/>
          <w:lang w:eastAsia="pl-PL"/>
        </w:rPr>
        <w:t xml:space="preserve"> w art. 7</w:t>
      </w:r>
      <w:r w:rsidRPr="00830EF7">
        <w:rPr>
          <w:rFonts w:ascii="Times New Roman" w:eastAsia="Times New Roman" w:hAnsi="Times New Roman"/>
          <w:szCs w:val="24"/>
          <w:lang w:eastAsia="pl-PL"/>
        </w:rPr>
        <w:t xml:space="preserve"> podyktowana jest przede wszystkim koniecznością zapewnienia efektywnego wspierania polskich przedsiębiorców i szybkiego reagowania na zmieniające warunki i idące za tym zapotrzebowania na rozwiązania produktowe. Spółka na co dzień spotyka się z eksporterami oraz instytucjami finansowymi, w tym innymi agencjami wsparcia eksportu, i dzięki temu zna oczekiwania rynku i warunki na nim panujące, i potrafi dostosować ofertę w odpowiedzi na zmieniające się potrzeby polskich przedsiębiorców.</w:t>
      </w:r>
    </w:p>
    <w:p w:rsidR="003910C9" w:rsidRPr="00830EF7" w:rsidRDefault="003910C9" w:rsidP="003910C9">
      <w:pPr>
        <w:spacing w:after="120" w:line="360" w:lineRule="auto"/>
        <w:jc w:val="both"/>
        <w:rPr>
          <w:rFonts w:ascii="Times New Roman" w:eastAsia="Times New Roman" w:hAnsi="Times New Roman"/>
          <w:szCs w:val="24"/>
          <w:lang w:eastAsia="pl-PL"/>
        </w:rPr>
      </w:pPr>
      <w:r>
        <w:rPr>
          <w:rFonts w:ascii="Times New Roman" w:eastAsia="Times New Roman" w:hAnsi="Times New Roman"/>
          <w:szCs w:val="24"/>
          <w:lang w:eastAsia="pl-PL"/>
        </w:rPr>
        <w:t>Komitet Polityki Ubezpieczeń Eksportowych (</w:t>
      </w:r>
      <w:r w:rsidRPr="00830EF7">
        <w:rPr>
          <w:rFonts w:ascii="Times New Roman" w:eastAsia="Times New Roman" w:hAnsi="Times New Roman"/>
          <w:szCs w:val="24"/>
          <w:lang w:eastAsia="pl-PL"/>
        </w:rPr>
        <w:t>KPUE</w:t>
      </w:r>
      <w:r>
        <w:rPr>
          <w:rFonts w:ascii="Times New Roman" w:eastAsia="Times New Roman" w:hAnsi="Times New Roman"/>
          <w:szCs w:val="24"/>
          <w:lang w:eastAsia="pl-PL"/>
        </w:rPr>
        <w:t>)</w:t>
      </w:r>
      <w:r w:rsidRPr="00830EF7">
        <w:rPr>
          <w:rFonts w:ascii="Times New Roman" w:eastAsia="Times New Roman" w:hAnsi="Times New Roman"/>
          <w:szCs w:val="24"/>
          <w:lang w:eastAsia="pl-PL"/>
        </w:rPr>
        <w:t xml:space="preserve"> wyznacz</w:t>
      </w:r>
      <w:r>
        <w:rPr>
          <w:rFonts w:ascii="Times New Roman" w:eastAsia="Times New Roman" w:hAnsi="Times New Roman"/>
          <w:szCs w:val="24"/>
          <w:lang w:eastAsia="pl-PL"/>
        </w:rPr>
        <w:t>a kierunki działalności KUKE, w </w:t>
      </w:r>
      <w:r w:rsidRPr="00830EF7">
        <w:rPr>
          <w:rFonts w:ascii="Times New Roman" w:eastAsia="Times New Roman" w:hAnsi="Times New Roman"/>
          <w:szCs w:val="24"/>
          <w:lang w:eastAsia="pl-PL"/>
        </w:rPr>
        <w:t>rozumieniu globalnym. Przyjmowanie szczegółowych rozwiązań w celu realizacji polityki określonej przez KPUE powinno być pozostawione organom na co dzień zarządzającymi Spółką. KPUE oraz minister właściwy do spraw gospodarki mają w każ</w:t>
      </w:r>
      <w:r>
        <w:rPr>
          <w:rFonts w:ascii="Times New Roman" w:eastAsia="Times New Roman" w:hAnsi="Times New Roman"/>
          <w:szCs w:val="24"/>
          <w:lang w:eastAsia="pl-PL"/>
        </w:rPr>
        <w:t>dej chwili możliwość kontroli w </w:t>
      </w:r>
      <w:r w:rsidRPr="00830EF7">
        <w:rPr>
          <w:rFonts w:ascii="Times New Roman" w:eastAsia="Times New Roman" w:hAnsi="Times New Roman"/>
          <w:szCs w:val="24"/>
          <w:lang w:eastAsia="pl-PL"/>
        </w:rPr>
        <w:t xml:space="preserve">ramach sprawowanego na mocy nadzoru nad KUKE. Podobny model funkcjonowania został już </w:t>
      </w:r>
      <w:r w:rsidRPr="00830EF7">
        <w:rPr>
          <w:rFonts w:ascii="Times New Roman" w:eastAsia="Times New Roman" w:hAnsi="Times New Roman"/>
          <w:szCs w:val="24"/>
          <w:lang w:eastAsia="pl-PL"/>
        </w:rPr>
        <w:lastRenderedPageBreak/>
        <w:t>kilka lat temu zaimplementowany w innych agencjach wsparcia eksportu takich jak duńska, czy brytyjska dzięki czemu agencje te są w stanie reagować na bieżąco i w sposób efektywny nie tylko w momentach względnego spokoju na rynkach, ale przede wszystkim w momentach kryzysu czy różnych zawirowań rynkowych.</w:t>
      </w:r>
    </w:p>
    <w:p w:rsidR="003910C9" w:rsidRDefault="003910C9" w:rsidP="003910C9">
      <w:pPr>
        <w:spacing w:after="120" w:line="360" w:lineRule="auto"/>
        <w:jc w:val="both"/>
      </w:pPr>
      <w:r w:rsidRPr="00830EF7">
        <w:rPr>
          <w:rFonts w:ascii="Times New Roman" w:hAnsi="Times New Roman"/>
        </w:rPr>
        <w:t xml:space="preserve">Zmieniony </w:t>
      </w:r>
      <w:r>
        <w:rPr>
          <w:rFonts w:ascii="Times New Roman" w:hAnsi="Times New Roman"/>
        </w:rPr>
        <w:t>przepis</w:t>
      </w:r>
      <w:r w:rsidRPr="00830EF7">
        <w:rPr>
          <w:rFonts w:ascii="Times New Roman" w:hAnsi="Times New Roman"/>
        </w:rPr>
        <w:t xml:space="preserve"> </w:t>
      </w:r>
      <w:r>
        <w:rPr>
          <w:rFonts w:ascii="Times New Roman" w:hAnsi="Times New Roman"/>
        </w:rPr>
        <w:t xml:space="preserve">art. 10 </w:t>
      </w:r>
      <w:r w:rsidRPr="00830EF7">
        <w:rPr>
          <w:rFonts w:ascii="Times New Roman" w:hAnsi="Times New Roman"/>
        </w:rPr>
        <w:t xml:space="preserve">umożliwia pobieranie dodatkowych opłat administracyjnych, które standardowo pobierane są przez instytucje finansowe na rachunek Skarbu Państwa. </w:t>
      </w:r>
      <w:r w:rsidRPr="00830EF7">
        <w:rPr>
          <w:rFonts w:ascii="Times New Roman" w:eastAsia="Times New Roman" w:hAnsi="Times New Roman"/>
          <w:szCs w:val="24"/>
          <w:lang w:eastAsia="pl-PL"/>
        </w:rPr>
        <w:t>Wprowadzenie zapisu doprecyzowuje zasady pobierania opłat. Podstawowymi opłata</w:t>
      </w:r>
      <w:r>
        <w:rPr>
          <w:rFonts w:ascii="Times New Roman" w:eastAsia="Times New Roman" w:hAnsi="Times New Roman"/>
          <w:szCs w:val="24"/>
          <w:lang w:eastAsia="pl-PL"/>
        </w:rPr>
        <w:t>mi są składki ubezpieczeniowe i </w:t>
      </w:r>
      <w:r w:rsidRPr="00830EF7">
        <w:rPr>
          <w:rFonts w:ascii="Times New Roman" w:eastAsia="Times New Roman" w:hAnsi="Times New Roman"/>
          <w:szCs w:val="24"/>
          <w:lang w:eastAsia="pl-PL"/>
        </w:rPr>
        <w:t>wynagrodzenia z tytułu gwarancji. Opłaty administracyjne związane np. z rozpatrzeniem wniosku, wniosku o restrukturyzację są powszechne na całym rynk</w:t>
      </w:r>
      <w:r>
        <w:rPr>
          <w:rFonts w:ascii="Times New Roman" w:eastAsia="Times New Roman" w:hAnsi="Times New Roman"/>
          <w:szCs w:val="24"/>
          <w:lang w:eastAsia="pl-PL"/>
        </w:rPr>
        <w:t>u finansowym, w szczególności w </w:t>
      </w:r>
      <w:r w:rsidRPr="00830EF7">
        <w:rPr>
          <w:rFonts w:ascii="Times New Roman" w:eastAsia="Times New Roman" w:hAnsi="Times New Roman"/>
          <w:szCs w:val="24"/>
          <w:lang w:eastAsia="pl-PL"/>
        </w:rPr>
        <w:t xml:space="preserve">bankowości oraz często stosowane przez agencje wsparcia eksportu będące odpowiednikiem KUKE. Nie są to opłaty pobierane za ryzyko, </w:t>
      </w:r>
      <w:r>
        <w:rPr>
          <w:rFonts w:ascii="Times New Roman" w:eastAsia="Times New Roman" w:hAnsi="Times New Roman"/>
          <w:szCs w:val="24"/>
          <w:lang w:eastAsia="pl-PL"/>
        </w:rPr>
        <w:t>ale</w:t>
      </w:r>
      <w:r w:rsidRPr="00830EF7">
        <w:rPr>
          <w:rFonts w:ascii="Times New Roman" w:eastAsia="Times New Roman" w:hAnsi="Times New Roman"/>
          <w:szCs w:val="24"/>
          <w:lang w:eastAsia="pl-PL"/>
        </w:rPr>
        <w:t xml:space="preserve"> za techniczny nakład pracy związany ze zmianą parametrów transakcji. W większości pobierane są one od inwestora, który nie jest podmiotem polskim, a na rzecz którego udzielane jest finansowanie. Skarb Państwa jest tylko i wyłącznie beneficjentem niniejszych opłat. Zasilałyby one w całości rachunek interes narodowy, na którym gromadzone są wszystkie środki w celu zabezpieczenia ewentualnych wypłat szkód.</w:t>
      </w:r>
      <w:r w:rsidRPr="003B4A24">
        <w:t xml:space="preserve"> </w:t>
      </w:r>
    </w:p>
    <w:p w:rsidR="003910C9" w:rsidRPr="003B4A24" w:rsidRDefault="003910C9" w:rsidP="003910C9">
      <w:pPr>
        <w:spacing w:after="120" w:line="360" w:lineRule="auto"/>
        <w:jc w:val="both"/>
        <w:rPr>
          <w:rFonts w:ascii="Times New Roman" w:eastAsia="Times New Roman" w:hAnsi="Times New Roman"/>
          <w:szCs w:val="24"/>
          <w:lang w:eastAsia="pl-PL"/>
        </w:rPr>
      </w:pPr>
      <w:r w:rsidRPr="003B4A24">
        <w:rPr>
          <w:rFonts w:ascii="Times New Roman" w:eastAsia="Times New Roman" w:hAnsi="Times New Roman"/>
          <w:szCs w:val="24"/>
          <w:lang w:eastAsia="pl-PL"/>
        </w:rPr>
        <w:t>Wszystkie pozostałe zmiany mają przede wszystkim charakt</w:t>
      </w:r>
      <w:r>
        <w:rPr>
          <w:rFonts w:ascii="Times New Roman" w:eastAsia="Times New Roman" w:hAnsi="Times New Roman"/>
          <w:szCs w:val="24"/>
          <w:lang w:eastAsia="pl-PL"/>
        </w:rPr>
        <w:t>er porządkowy i uzupełniający w </w:t>
      </w:r>
      <w:r w:rsidRPr="003B4A24">
        <w:rPr>
          <w:rFonts w:ascii="Times New Roman" w:eastAsia="Times New Roman" w:hAnsi="Times New Roman"/>
          <w:szCs w:val="24"/>
          <w:lang w:eastAsia="pl-PL"/>
        </w:rPr>
        <w:t>stosunku do</w:t>
      </w:r>
      <w:r>
        <w:rPr>
          <w:rFonts w:ascii="Times New Roman" w:eastAsia="Times New Roman" w:hAnsi="Times New Roman"/>
          <w:szCs w:val="24"/>
          <w:lang w:eastAsia="pl-PL"/>
        </w:rPr>
        <w:t xml:space="preserve"> zaprezentowanego uzasadnienia.</w:t>
      </w:r>
    </w:p>
    <w:p w:rsidR="00364449" w:rsidRPr="00364449" w:rsidRDefault="003910C9" w:rsidP="003910C9">
      <w:pPr>
        <w:suppressAutoHyphens/>
        <w:autoSpaceDE w:val="0"/>
        <w:autoSpaceDN w:val="0"/>
        <w:adjustRightInd w:val="0"/>
        <w:spacing w:after="120" w:line="360" w:lineRule="auto"/>
        <w:jc w:val="both"/>
        <w:rPr>
          <w:rFonts w:ascii="Times New Roman" w:eastAsia="Times New Roman" w:hAnsi="Times New Roman"/>
          <w:szCs w:val="24"/>
          <w:lang w:eastAsia="pl-PL"/>
        </w:rPr>
      </w:pPr>
      <w:r w:rsidRPr="003B4A24">
        <w:rPr>
          <w:rFonts w:ascii="Times New Roman" w:eastAsia="Times New Roman" w:hAnsi="Times New Roman"/>
          <w:szCs w:val="24"/>
          <w:lang w:eastAsia="pl-PL"/>
        </w:rPr>
        <w:t>Podkreś</w:t>
      </w:r>
      <w:r>
        <w:rPr>
          <w:rFonts w:ascii="Times New Roman" w:eastAsia="Times New Roman" w:hAnsi="Times New Roman"/>
          <w:szCs w:val="24"/>
          <w:lang w:eastAsia="pl-PL"/>
        </w:rPr>
        <w:t>lić należy, że choć wprowadzone</w:t>
      </w:r>
      <w:r w:rsidRPr="003B4A24">
        <w:rPr>
          <w:rFonts w:ascii="Times New Roman" w:eastAsia="Times New Roman" w:hAnsi="Times New Roman"/>
          <w:szCs w:val="24"/>
          <w:lang w:eastAsia="pl-PL"/>
        </w:rPr>
        <w:t xml:space="preserve"> w </w:t>
      </w:r>
      <w:r>
        <w:rPr>
          <w:rFonts w:ascii="Times New Roman" w:eastAsia="Times New Roman" w:hAnsi="Times New Roman"/>
          <w:szCs w:val="24"/>
          <w:lang w:eastAsia="pl-PL"/>
        </w:rPr>
        <w:t>projekcie</w:t>
      </w:r>
      <w:r w:rsidRPr="003B4A24">
        <w:rPr>
          <w:rFonts w:ascii="Times New Roman" w:eastAsia="Times New Roman" w:hAnsi="Times New Roman"/>
          <w:szCs w:val="24"/>
          <w:lang w:eastAsia="pl-PL"/>
        </w:rPr>
        <w:t xml:space="preserve"> zmiany pozwolą lepiej, szybciej i bardziej kompleksowo reagować na pot</w:t>
      </w:r>
      <w:r>
        <w:rPr>
          <w:rFonts w:ascii="Times New Roman" w:eastAsia="Times New Roman" w:hAnsi="Times New Roman"/>
          <w:szCs w:val="24"/>
          <w:lang w:eastAsia="pl-PL"/>
        </w:rPr>
        <w:t xml:space="preserve">rzeby polskich przedsiębiorców </w:t>
      </w:r>
      <w:r w:rsidRPr="003B4A24">
        <w:rPr>
          <w:rFonts w:ascii="Times New Roman" w:eastAsia="Times New Roman" w:hAnsi="Times New Roman"/>
          <w:szCs w:val="24"/>
          <w:lang w:eastAsia="pl-PL"/>
        </w:rPr>
        <w:t>w związku z COVID-19, utrzymanie ich również po ustaniu epidemii pozwoli lepiej reagować na ich potrzeby również po jej zakończeniu oraz pozwoli lepiej się przygotować do kolejnych kryzysów gospodarczych, które są naturalnym następstwem cyklu koniunkturalnego.</w:t>
      </w:r>
    </w:p>
    <w:p w:rsidR="00364449" w:rsidRDefault="0036444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ustawy o rachunkowości:</w:t>
      </w:r>
    </w:p>
    <w:p w:rsidR="00364449" w:rsidRDefault="00364449" w:rsidP="00364449">
      <w:pPr>
        <w:suppressAutoHyphens/>
        <w:autoSpaceDE w:val="0"/>
        <w:autoSpaceDN w:val="0"/>
        <w:adjustRightInd w:val="0"/>
        <w:spacing w:after="120" w:line="360" w:lineRule="auto"/>
        <w:jc w:val="both"/>
        <w:rPr>
          <w:rFonts w:ascii="Times New Roman" w:hAnsi="Times New Roman"/>
          <w:lang w:eastAsia="pl-PL"/>
        </w:rPr>
      </w:pPr>
      <w:r w:rsidRPr="00364449">
        <w:rPr>
          <w:rFonts w:ascii="Times New Roman" w:hAnsi="Times New Roman"/>
          <w:lang w:eastAsia="pl-PL"/>
        </w:rPr>
        <w:t>W związku z uchyleniem w ustawie o biegłych rewidentach, firmach audytorskich oraz nadzorze publicznym art. 134 ust. 1 ustawy zasadne jest nadanie nowego brzmienia art. 66 ust. 6 pkt 1 i 2 ustawy o rachunkowości tak aby nadal z mocy prawa przewidziany był skutek nieważności badania sprawozdania finansowego w przypadku naruszenia przepisów unijnych o rotacji firmy audytorskiej.</w:t>
      </w:r>
    </w:p>
    <w:p w:rsidR="00B81876" w:rsidRPr="00E72654" w:rsidRDefault="00B81876"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E72654">
        <w:rPr>
          <w:rFonts w:ascii="Times New Roman" w:hAnsi="Times New Roman"/>
          <w:b/>
          <w:lang w:eastAsia="pl-PL"/>
        </w:rPr>
        <w:t>Zmiany w ustawie o rehabilitacji zawodowej i społecznej oraz zatrudnianiu osób niepełnosprawnych</w:t>
      </w:r>
      <w:r>
        <w:rPr>
          <w:rFonts w:ascii="Times New Roman" w:hAnsi="Times New Roman"/>
          <w:b/>
          <w:lang w:eastAsia="pl-PL"/>
        </w:rPr>
        <w:t>:</w:t>
      </w:r>
    </w:p>
    <w:p w:rsidR="00B81876" w:rsidRPr="00254B7D" w:rsidRDefault="00B81876" w:rsidP="00B81876">
      <w:pPr>
        <w:suppressAutoHyphens/>
        <w:autoSpaceDE w:val="0"/>
        <w:autoSpaceDN w:val="0"/>
        <w:adjustRightInd w:val="0"/>
        <w:spacing w:after="0" w:line="360" w:lineRule="auto"/>
        <w:jc w:val="both"/>
        <w:rPr>
          <w:rFonts w:ascii="Times New Roman" w:hAnsi="Times New Roman"/>
          <w:szCs w:val="24"/>
        </w:rPr>
      </w:pPr>
      <w:r w:rsidRPr="00254B7D">
        <w:rPr>
          <w:rFonts w:ascii="Times New Roman" w:hAnsi="Times New Roman"/>
          <w:szCs w:val="24"/>
        </w:rPr>
        <w:t>Zmiana w zakresie art. 26a ustawy dotyczy zwiększenia kwoty bazowej dofinansowania do wynagrodzeń osób niepełnosprawnych. Zwiększenie tej kwoty złagodzi częściowo pracodawcom skutki podwyższenia kwoty minimalnego wynagrodzenia w przypadku osób o znacznym stopniu niepełnosprawności, ze szczególnym uwzględnieniem osób o szczególnych schorzeniach, a tym samym pozwoli wspomóc pracodawców zatrudniających tych pracowników, w związku z</w:t>
      </w:r>
      <w:r>
        <w:rPr>
          <w:rFonts w:ascii="Times New Roman" w:hAnsi="Times New Roman"/>
          <w:szCs w:val="24"/>
        </w:rPr>
        <w:t> </w:t>
      </w:r>
      <w:r w:rsidRPr="00254B7D">
        <w:rPr>
          <w:rFonts w:ascii="Times New Roman" w:hAnsi="Times New Roman"/>
          <w:szCs w:val="24"/>
        </w:rPr>
        <w:t xml:space="preserve">pogorszeniem się sytuacji ekonomicznej spowodowanej COVID-19. Proponuje się podwyższenie </w:t>
      </w:r>
      <w:r w:rsidRPr="00254B7D">
        <w:rPr>
          <w:rFonts w:ascii="Times New Roman" w:hAnsi="Times New Roman"/>
          <w:szCs w:val="24"/>
        </w:rPr>
        <w:lastRenderedPageBreak/>
        <w:t>podstawy kwoty bazowej na osoby o znacznym stopniu niepełnosprawności z 1800 zł do 1950 zł i</w:t>
      </w:r>
      <w:r>
        <w:rPr>
          <w:rFonts w:ascii="Times New Roman" w:hAnsi="Times New Roman"/>
          <w:szCs w:val="24"/>
        </w:rPr>
        <w:t> </w:t>
      </w:r>
      <w:r w:rsidRPr="00254B7D">
        <w:rPr>
          <w:rFonts w:ascii="Times New Roman" w:hAnsi="Times New Roman"/>
          <w:szCs w:val="24"/>
        </w:rPr>
        <w:t>przy stopniu umiarkowanym z 1125 zł do 1200zł.</w:t>
      </w:r>
      <w:r>
        <w:rPr>
          <w:rFonts w:ascii="Times New Roman" w:hAnsi="Times New Roman"/>
          <w:szCs w:val="24"/>
        </w:rPr>
        <w:t xml:space="preserve"> </w:t>
      </w:r>
      <w:r w:rsidRPr="00254B7D">
        <w:rPr>
          <w:rFonts w:ascii="Times New Roman" w:hAnsi="Times New Roman"/>
          <w:szCs w:val="24"/>
        </w:rPr>
        <w:t>Ponadto proponuje się, by dodatek do kwoty bazowej na osoby o szczególnych schorzeniach wzrósł z 600 zł do 1200 zł w przypadku osób o znacz</w:t>
      </w:r>
      <w:r>
        <w:rPr>
          <w:rFonts w:ascii="Times New Roman" w:hAnsi="Times New Roman"/>
          <w:szCs w:val="24"/>
        </w:rPr>
        <w:t xml:space="preserve">nym stopniu niepełnosprawności </w:t>
      </w:r>
      <w:r w:rsidRPr="00254B7D">
        <w:rPr>
          <w:rFonts w:ascii="Times New Roman" w:hAnsi="Times New Roman"/>
          <w:szCs w:val="24"/>
        </w:rPr>
        <w:t>i z 600 zł do 900 zł w przypadku osób o umiarkowanym stopniu niepełnosprawności.</w:t>
      </w:r>
    </w:p>
    <w:p w:rsidR="00B81876" w:rsidRPr="00364449" w:rsidRDefault="00B81876" w:rsidP="00B81876">
      <w:pPr>
        <w:pStyle w:val="Akapitzlist"/>
        <w:suppressAutoHyphens/>
        <w:autoSpaceDE w:val="0"/>
        <w:autoSpaceDN w:val="0"/>
        <w:adjustRightInd w:val="0"/>
        <w:spacing w:after="120" w:line="360" w:lineRule="auto"/>
        <w:ind w:left="0"/>
        <w:jc w:val="both"/>
        <w:rPr>
          <w:rFonts w:ascii="Times New Roman" w:hAnsi="Times New Roman"/>
          <w:lang w:eastAsia="pl-PL"/>
        </w:rPr>
      </w:pPr>
      <w:r>
        <w:rPr>
          <w:rFonts w:ascii="Times New Roman" w:hAnsi="Times New Roman"/>
          <w:lang w:eastAsia="pl-PL"/>
        </w:rPr>
        <w:t xml:space="preserve">Z kolei w zakresie projektowanego </w:t>
      </w:r>
      <w:r w:rsidRPr="00254B7D">
        <w:rPr>
          <w:rFonts w:ascii="Times New Roman" w:hAnsi="Times New Roman"/>
          <w:lang w:eastAsia="pl-PL"/>
        </w:rPr>
        <w:t>art. 68gd</w:t>
      </w:r>
      <w:r>
        <w:rPr>
          <w:rFonts w:ascii="Times New Roman" w:hAnsi="Times New Roman"/>
          <w:lang w:eastAsia="pl-PL"/>
        </w:rPr>
        <w:t xml:space="preserve"> ustawy p</w:t>
      </w:r>
      <w:r w:rsidRPr="00F27359">
        <w:rPr>
          <w:rFonts w:ascii="Times New Roman" w:hAnsi="Times New Roman"/>
          <w:lang w:eastAsia="pl-PL"/>
        </w:rPr>
        <w:t>roponuje się okresowe wprowadzenie rozwiązania dotyczącego możliwości dysponowania środkami zakładowego funduszu rehabilitacji osób niepełnosprawnych, zakładowego funduszu aktywności i</w:t>
      </w:r>
      <w:r>
        <w:rPr>
          <w:rFonts w:ascii="Times New Roman" w:hAnsi="Times New Roman"/>
          <w:lang w:eastAsia="pl-PL"/>
        </w:rPr>
        <w:t> </w:t>
      </w:r>
      <w:r w:rsidRPr="00F27359">
        <w:rPr>
          <w:rFonts w:ascii="Times New Roman" w:hAnsi="Times New Roman"/>
          <w:lang w:eastAsia="pl-PL"/>
        </w:rPr>
        <w:t>zwrotami na te fundusze</w:t>
      </w:r>
      <w:r>
        <w:rPr>
          <w:rFonts w:ascii="Times New Roman" w:hAnsi="Times New Roman"/>
          <w:lang w:eastAsia="pl-PL"/>
        </w:rPr>
        <w:t>,</w:t>
      </w:r>
      <w:r w:rsidRPr="00F27359">
        <w:rPr>
          <w:rFonts w:ascii="Times New Roman" w:hAnsi="Times New Roman"/>
          <w:lang w:eastAsia="pl-PL"/>
        </w:rPr>
        <w:t xml:space="preserve"> tak by</w:t>
      </w:r>
      <w:r>
        <w:rPr>
          <w:rFonts w:ascii="Times New Roman" w:hAnsi="Times New Roman"/>
          <w:lang w:eastAsia="pl-PL"/>
        </w:rPr>
        <w:t xml:space="preserve"> </w:t>
      </w:r>
      <w:r w:rsidRPr="00F27359">
        <w:rPr>
          <w:rFonts w:ascii="Times New Roman" w:hAnsi="Times New Roman"/>
          <w:lang w:eastAsia="pl-PL"/>
        </w:rPr>
        <w:t>bez względu na podstawę prawną zatrudnienia</w:t>
      </w:r>
      <w:r>
        <w:rPr>
          <w:rFonts w:ascii="Times New Roman" w:hAnsi="Times New Roman"/>
          <w:lang w:eastAsia="pl-PL"/>
        </w:rPr>
        <w:t>,</w:t>
      </w:r>
      <w:r w:rsidRPr="00F27359">
        <w:rPr>
          <w:rFonts w:ascii="Times New Roman" w:hAnsi="Times New Roman"/>
          <w:lang w:eastAsia="pl-PL"/>
        </w:rPr>
        <w:t xml:space="preserve"> </w:t>
      </w:r>
      <w:r w:rsidRPr="00592B52">
        <w:rPr>
          <w:rFonts w:ascii="Times New Roman" w:hAnsi="Times New Roman"/>
          <w:sz w:val="24"/>
          <w:szCs w:val="24"/>
        </w:rPr>
        <w:t>a także inne wydatki niezbędne do zapewnienia ciągłości zatrudnienia i rehabilitacji osób niepełnosprawnych (w tym do zapewnienia ciągłości działalności dysponenta).</w:t>
      </w:r>
      <w:r w:rsidRPr="00592B52">
        <w:rPr>
          <w:rFonts w:ascii="Times New Roman" w:hAnsi="Times New Roman"/>
          <w:lang w:eastAsia="pl-PL"/>
        </w:rPr>
        <w:t xml:space="preserve"> </w:t>
      </w:r>
      <w:r w:rsidRPr="00F27359">
        <w:rPr>
          <w:rFonts w:ascii="Times New Roman" w:hAnsi="Times New Roman"/>
          <w:lang w:eastAsia="pl-PL"/>
        </w:rPr>
        <w:t xml:space="preserve">Warunkiem dysponowania przedmiotowymi środkami będzie uzyskanie zgody </w:t>
      </w:r>
      <w:r>
        <w:rPr>
          <w:rFonts w:ascii="Times New Roman" w:hAnsi="Times New Roman"/>
          <w:lang w:eastAsia="pl-PL"/>
        </w:rPr>
        <w:t>Państwowego Funduszu Rehabilitacji Osób Niepełnosprawnych</w:t>
      </w:r>
      <w:r w:rsidRPr="00F27359">
        <w:rPr>
          <w:rFonts w:ascii="Times New Roman" w:hAnsi="Times New Roman"/>
          <w:lang w:eastAsia="pl-PL"/>
        </w:rPr>
        <w:t>. Analogiczne rozwiązanie funkcjonuje w ustawie o szczególnych rozwiązaniach związanych z</w:t>
      </w:r>
      <w:r>
        <w:rPr>
          <w:rFonts w:ascii="Times New Roman" w:hAnsi="Times New Roman"/>
          <w:lang w:eastAsia="pl-PL"/>
        </w:rPr>
        <w:t> </w:t>
      </w:r>
      <w:r w:rsidRPr="00F27359">
        <w:rPr>
          <w:rFonts w:ascii="Times New Roman" w:hAnsi="Times New Roman"/>
          <w:lang w:eastAsia="pl-PL"/>
        </w:rPr>
        <w:t>usuwaniem skutków powodzi.</w:t>
      </w:r>
    </w:p>
    <w:p w:rsidR="003C18F2" w:rsidRPr="00691C98" w:rsidRDefault="003C18F2"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Zmiana </w:t>
      </w:r>
      <w:r w:rsidR="009175DF">
        <w:rPr>
          <w:rFonts w:ascii="Times New Roman" w:hAnsi="Times New Roman"/>
          <w:b/>
          <w:lang w:eastAsia="pl-PL"/>
        </w:rPr>
        <w:t xml:space="preserve">ustawy </w:t>
      </w:r>
      <w:r w:rsidR="009175DF" w:rsidRPr="009175DF">
        <w:rPr>
          <w:rFonts w:ascii="Times New Roman" w:hAnsi="Times New Roman"/>
          <w:b/>
          <w:lang w:eastAsia="pl-PL"/>
        </w:rPr>
        <w:t>o usługach hotelarskich or</w:t>
      </w:r>
      <w:r w:rsidR="009175DF">
        <w:rPr>
          <w:rFonts w:ascii="Times New Roman" w:hAnsi="Times New Roman"/>
          <w:b/>
          <w:lang w:eastAsia="pl-PL"/>
        </w:rPr>
        <w:t>az usługach pilotów wycieczek i </w:t>
      </w:r>
      <w:r w:rsidR="009175DF" w:rsidRPr="009175DF">
        <w:rPr>
          <w:rFonts w:ascii="Times New Roman" w:hAnsi="Times New Roman"/>
          <w:b/>
          <w:lang w:eastAsia="pl-PL"/>
        </w:rPr>
        <w:t>przewodników turystycznych</w:t>
      </w:r>
      <w:r w:rsidR="00E06C04">
        <w:rPr>
          <w:rFonts w:ascii="Times New Roman" w:hAnsi="Times New Roman"/>
          <w:b/>
          <w:lang w:eastAsia="pl-PL"/>
        </w:rPr>
        <w:t>:</w:t>
      </w:r>
    </w:p>
    <w:p w:rsidR="003C18F2" w:rsidRPr="00691C98" w:rsidRDefault="003C18F2" w:rsidP="00691C9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Powyższa poprawka dotyczy domniemania prawnego </w:t>
      </w:r>
      <w:r w:rsidR="007D640E">
        <w:rPr>
          <w:rFonts w:ascii="Times New Roman" w:hAnsi="Times New Roman"/>
          <w:lang w:eastAsia="pl-PL"/>
        </w:rPr>
        <w:t>istniejącego</w:t>
      </w:r>
      <w:r w:rsidRPr="00691C98">
        <w:rPr>
          <w:rFonts w:ascii="Times New Roman" w:hAnsi="Times New Roman"/>
          <w:lang w:eastAsia="pl-PL"/>
        </w:rPr>
        <w:t xml:space="preserve"> w </w:t>
      </w:r>
      <w:r w:rsidR="007D640E">
        <w:rPr>
          <w:rFonts w:ascii="Times New Roman" w:hAnsi="Times New Roman"/>
          <w:lang w:eastAsia="pl-PL"/>
        </w:rPr>
        <w:t>specustawie</w:t>
      </w:r>
      <w:r w:rsidRPr="00691C98">
        <w:rPr>
          <w:rFonts w:ascii="Times New Roman" w:hAnsi="Times New Roman"/>
          <w:lang w:eastAsia="pl-PL"/>
        </w:rPr>
        <w:t xml:space="preserve"> brzmienia art. 17, z</w:t>
      </w:r>
      <w:r w:rsidR="007D640E">
        <w:rPr>
          <w:rFonts w:ascii="Times New Roman" w:hAnsi="Times New Roman"/>
          <w:lang w:eastAsia="pl-PL"/>
        </w:rPr>
        <w:t> </w:t>
      </w:r>
      <w:r w:rsidRPr="00691C98">
        <w:rPr>
          <w:rFonts w:ascii="Times New Roman" w:hAnsi="Times New Roman"/>
          <w:lang w:eastAsia="pl-PL"/>
        </w:rPr>
        <w:t>odpowiednią korektą gramatyczną. Przepis ten wprowadza</w:t>
      </w:r>
      <w:r w:rsidR="007D640E">
        <w:rPr>
          <w:rFonts w:ascii="Times New Roman" w:hAnsi="Times New Roman"/>
          <w:lang w:eastAsia="pl-PL"/>
        </w:rPr>
        <w:t>ł domniemanie, że w obiektach, w </w:t>
      </w:r>
      <w:r w:rsidRPr="00691C98">
        <w:rPr>
          <w:rFonts w:ascii="Times New Roman" w:hAnsi="Times New Roman"/>
          <w:lang w:eastAsia="pl-PL"/>
        </w:rPr>
        <w:t>których są świadczone usługi hotelarskie bez uprzedniego zgłos</w:t>
      </w:r>
      <w:r w:rsidR="007D640E">
        <w:rPr>
          <w:rFonts w:ascii="Times New Roman" w:hAnsi="Times New Roman"/>
          <w:lang w:eastAsia="pl-PL"/>
        </w:rPr>
        <w:t xml:space="preserve">zenia do właściwej ewidencji, o </w:t>
      </w:r>
      <w:r w:rsidRPr="00691C98">
        <w:rPr>
          <w:rFonts w:ascii="Times New Roman" w:hAnsi="Times New Roman"/>
          <w:lang w:eastAsia="pl-PL"/>
        </w:rPr>
        <w:t>której mowa w art. 38 ustawy o usługach hotelarskich oraz usługach pilotów wycieczek i przewodników turystycznych, nie są spełnione wymagania sanitarne. Należy zatem wskazać, że zgodnie z intencjami projektodawcy, zaproponowany przepis miał wprowadzać domniemanie prawne polegające na założeniu, że obiekt</w:t>
      </w:r>
      <w:r w:rsidR="007D640E">
        <w:rPr>
          <w:rFonts w:ascii="Times New Roman" w:hAnsi="Times New Roman"/>
          <w:lang w:eastAsia="pl-PL"/>
        </w:rPr>
        <w:t>,</w:t>
      </w:r>
      <w:r w:rsidRPr="00691C98">
        <w:rPr>
          <w:rFonts w:ascii="Times New Roman" w:hAnsi="Times New Roman"/>
          <w:lang w:eastAsia="pl-PL"/>
        </w:rPr>
        <w:t xml:space="preserve"> w którym są świadczone usługi hotelarskie, a który to obiekt nie został zgłoszony do odpowiedniej ewidencji</w:t>
      </w:r>
      <w:r w:rsidR="007D640E">
        <w:rPr>
          <w:rFonts w:ascii="Times New Roman" w:hAnsi="Times New Roman"/>
          <w:lang w:eastAsia="pl-PL"/>
        </w:rPr>
        <w:t>,</w:t>
      </w:r>
      <w:r w:rsidRPr="00691C98">
        <w:rPr>
          <w:rFonts w:ascii="Times New Roman" w:hAnsi="Times New Roman"/>
          <w:lang w:eastAsia="pl-PL"/>
        </w:rPr>
        <w:t xml:space="preserve"> nie spełnia wymogów sanitarnych. Wprowadzenie takiego domniemania ma na celu umożliwienie natychmiastowej reakcji służb sanitarnyc</w:t>
      </w:r>
      <w:r w:rsidR="00097C5B">
        <w:rPr>
          <w:rFonts w:ascii="Times New Roman" w:hAnsi="Times New Roman"/>
          <w:lang w:eastAsia="pl-PL"/>
        </w:rPr>
        <w:t>h w przypadku podejrzenia, że w </w:t>
      </w:r>
      <w:r w:rsidRPr="00691C98">
        <w:rPr>
          <w:rFonts w:ascii="Times New Roman" w:hAnsi="Times New Roman"/>
          <w:lang w:eastAsia="pl-PL"/>
        </w:rPr>
        <w:t>obiekcie może przebywać osoba, zarażona wirusem, tym samym usprawnić podjęcie natychmiastowych działań zaradczych. Należy wskazać, że podobne przepisy, które w sposób literalny wyrażają domniemanie prawne, nie są obce polskiemu systemowi prawnemu. Można przy tym wskazać, na art. 7 kodeksu cywilnego („Jeżeli ustawa uzależnia skutki prawne od dobrej lub złej wiary, domniemywa się istn</w:t>
      </w:r>
      <w:r w:rsidR="007D640E">
        <w:rPr>
          <w:rFonts w:ascii="Times New Roman" w:hAnsi="Times New Roman"/>
          <w:lang w:eastAsia="pl-PL"/>
        </w:rPr>
        <w:t xml:space="preserve">ienie dobrej wiary.”) lub art. </w:t>
      </w:r>
      <w:r w:rsidRPr="00691C98">
        <w:rPr>
          <w:rFonts w:ascii="Times New Roman" w:hAnsi="Times New Roman"/>
          <w:lang w:eastAsia="pl-PL"/>
        </w:rPr>
        <w:t xml:space="preserve">341 tegoż kodeksu („Domniemywa się, że posiadanie jest zgodne ze stanem prawnym. Domniemanie to dotyczy również posiadania przez poprzedniego posiadacza.”). Domniemania prawne nie są także obce prawu autorskiemu (przykładowo art. 8 ust. 1, art. 11, art. 13, art. 15). W doktrynie prawoznawstwa podkreśla się, że celem domniemań jest ułatwienie w ustalaniu stanu faktycznego, w odniesieniu do proponowanego przepisu przyjęciu zatem </w:t>
      </w:r>
      <w:r w:rsidRPr="00691C98">
        <w:rPr>
          <w:rFonts w:ascii="Times New Roman" w:hAnsi="Times New Roman"/>
          <w:i/>
          <w:lang w:eastAsia="pl-PL"/>
        </w:rPr>
        <w:t>a priori</w:t>
      </w:r>
      <w:r w:rsidRPr="00691C98">
        <w:rPr>
          <w:rFonts w:ascii="Times New Roman" w:hAnsi="Times New Roman"/>
          <w:lang w:eastAsia="pl-PL"/>
        </w:rPr>
        <w:t xml:space="preserve">, że w obiekcie niezarejestrowanym nie są spełnione warunki </w:t>
      </w:r>
      <w:r w:rsidRPr="00691C98">
        <w:rPr>
          <w:rFonts w:ascii="Times New Roman" w:hAnsi="Times New Roman"/>
          <w:lang w:eastAsia="pl-PL"/>
        </w:rPr>
        <w:lastRenderedPageBreak/>
        <w:t>sanitarne do świadczenia usług hotelarskich. Przyjęcie takiego założenia umożliwi szybkie reagowanie odpowiednich służb.</w:t>
      </w:r>
    </w:p>
    <w:p w:rsidR="009175DF" w:rsidRDefault="009175D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ustawy o</w:t>
      </w:r>
      <w:r w:rsidRPr="003271CD">
        <w:t xml:space="preserve"> </w:t>
      </w:r>
      <w:r w:rsidRPr="009175DF">
        <w:rPr>
          <w:rFonts w:ascii="Times New Roman" w:hAnsi="Times New Roman"/>
          <w:b/>
        </w:rPr>
        <w:t>zryczałtowanym podatku dochodowym od niektórych przychodów osiąganych przez osoby fizyczne</w:t>
      </w:r>
      <w:r>
        <w:rPr>
          <w:rFonts w:ascii="Times New Roman" w:hAnsi="Times New Roman"/>
          <w:b/>
        </w:rPr>
        <w:t>:</w:t>
      </w:r>
    </w:p>
    <w:p w:rsidR="009175DF" w:rsidRPr="009175DF" w:rsidRDefault="009175DF" w:rsidP="009175DF">
      <w:p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Przepisy</w:t>
      </w:r>
      <w:r>
        <w:rPr>
          <w:rFonts w:ascii="Times New Roman" w:hAnsi="Times New Roman"/>
          <w:lang w:eastAsia="pl-PL"/>
        </w:rPr>
        <w:t xml:space="preserve"> art. 57b-57d wprowadzają nowe regulacje</w:t>
      </w:r>
      <w:r w:rsidRPr="009175DF">
        <w:rPr>
          <w:rFonts w:ascii="Times New Roman" w:hAnsi="Times New Roman"/>
          <w:lang w:eastAsia="pl-PL"/>
        </w:rPr>
        <w:t xml:space="preserve"> analogiczne jak </w:t>
      </w:r>
      <w:r>
        <w:rPr>
          <w:rFonts w:ascii="Times New Roman" w:hAnsi="Times New Roman"/>
          <w:lang w:eastAsia="pl-PL"/>
        </w:rPr>
        <w:t>w przypadku ustawy PIT i CIT w </w:t>
      </w:r>
      <w:r w:rsidRPr="009175DF">
        <w:rPr>
          <w:rFonts w:ascii="Times New Roman" w:hAnsi="Times New Roman"/>
          <w:lang w:eastAsia="pl-PL"/>
        </w:rPr>
        <w:t>zakresie:</w:t>
      </w:r>
    </w:p>
    <w:p w:rsidR="009175DF" w:rsidRPr="009175DF" w:rsidRDefault="009175DF" w:rsidP="00B00620">
      <w:pPr>
        <w:pStyle w:val="Akapitzlist"/>
        <w:numPr>
          <w:ilvl w:val="0"/>
          <w:numId w:val="27"/>
        </w:num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art. 57b – odliczenia z tytułu darowizn przekazanych w 2020 r. na przeciwdziałanie COVID-19;</w:t>
      </w:r>
    </w:p>
    <w:p w:rsidR="009175DF" w:rsidRPr="009175DF" w:rsidRDefault="009175DF" w:rsidP="00B00620">
      <w:pPr>
        <w:pStyle w:val="Akapitzlist"/>
        <w:numPr>
          <w:ilvl w:val="0"/>
          <w:numId w:val="27"/>
        </w:num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art. 57c – regulacje dotyczące zwolnienia z obowiązku zwiększenia przychodów ze względu na tzw. złe długi;</w:t>
      </w:r>
    </w:p>
    <w:p w:rsidR="009175DF" w:rsidRPr="009175DF" w:rsidRDefault="009175DF" w:rsidP="00B00620">
      <w:pPr>
        <w:pStyle w:val="Akapitzlist"/>
        <w:numPr>
          <w:ilvl w:val="0"/>
          <w:numId w:val="27"/>
        </w:numPr>
        <w:suppressAutoHyphens/>
        <w:autoSpaceDE w:val="0"/>
        <w:autoSpaceDN w:val="0"/>
        <w:adjustRightInd w:val="0"/>
        <w:spacing w:after="120" w:line="360" w:lineRule="auto"/>
        <w:jc w:val="both"/>
        <w:rPr>
          <w:rFonts w:ascii="Times New Roman" w:hAnsi="Times New Roman"/>
          <w:lang w:eastAsia="pl-PL"/>
        </w:rPr>
      </w:pPr>
      <w:r w:rsidRPr="009175DF">
        <w:rPr>
          <w:rFonts w:ascii="Times New Roman" w:hAnsi="Times New Roman"/>
          <w:lang w:eastAsia="pl-PL"/>
        </w:rPr>
        <w:t>art. 57d – zawiera zwolnienia z podatku dochodowego.</w:t>
      </w:r>
    </w:p>
    <w:p w:rsidR="00E619D2" w:rsidRPr="00691C98" w:rsidRDefault="00E619D2"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ustawy </w:t>
      </w:r>
      <w:r>
        <w:rPr>
          <w:rFonts w:ascii="Times New Roman" w:hAnsi="Times New Roman"/>
          <w:b/>
          <w:lang w:eastAsia="pl-PL"/>
        </w:rPr>
        <w:t xml:space="preserve">- </w:t>
      </w:r>
      <w:r w:rsidRPr="00691C98">
        <w:rPr>
          <w:rFonts w:ascii="Times New Roman" w:hAnsi="Times New Roman"/>
          <w:b/>
          <w:lang w:eastAsia="pl-PL"/>
        </w:rPr>
        <w:t>Kodeks spółek handlowych:</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Projektowane zmiany dotyczą sposobu odbywania posiedzeń oraz podejmowania uchwał przez organy zarządzające oraz nadzorcze </w:t>
      </w:r>
      <w:r>
        <w:rPr>
          <w:rFonts w:ascii="Times New Roman" w:hAnsi="Times New Roman"/>
          <w:lang w:eastAsia="pl-PL"/>
        </w:rPr>
        <w:t>sp. z o.o. i S.A</w:t>
      </w:r>
      <w:r w:rsidRPr="00691C98">
        <w:rPr>
          <w:rFonts w:ascii="Times New Roman" w:hAnsi="Times New Roman"/>
          <w:lang w:eastAsia="pl-PL"/>
        </w:rPr>
        <w:t xml:space="preserve">. Mają one na celu zapewnienie możliwości działania zarządów oraz rad nadzorczych </w:t>
      </w:r>
      <w:r>
        <w:rPr>
          <w:rFonts w:ascii="Times New Roman" w:hAnsi="Times New Roman"/>
          <w:lang w:eastAsia="pl-PL"/>
        </w:rPr>
        <w:t xml:space="preserve">tych </w:t>
      </w:r>
      <w:r w:rsidRPr="00691C98">
        <w:rPr>
          <w:rFonts w:ascii="Times New Roman" w:hAnsi="Times New Roman"/>
          <w:lang w:eastAsia="pl-PL"/>
        </w:rPr>
        <w:t xml:space="preserve">spółek, w szczególności w sytuacji nadzwyczajnych wydarzeń, które mogą wpływać na </w:t>
      </w:r>
      <w:r>
        <w:rPr>
          <w:rFonts w:ascii="Times New Roman" w:hAnsi="Times New Roman"/>
          <w:lang w:eastAsia="pl-PL"/>
        </w:rPr>
        <w:t xml:space="preserve">ich </w:t>
      </w:r>
      <w:r w:rsidRPr="00691C98">
        <w:rPr>
          <w:rFonts w:ascii="Times New Roman" w:hAnsi="Times New Roman"/>
          <w:lang w:eastAsia="pl-PL"/>
        </w:rPr>
        <w:t>wewnętrzną organizację.</w:t>
      </w:r>
      <w:r>
        <w:rPr>
          <w:rFonts w:ascii="Times New Roman" w:hAnsi="Times New Roman"/>
          <w:lang w:eastAsia="pl-PL"/>
        </w:rPr>
        <w:t xml:space="preserve"> Przedmiotowe zmiany nie obejmują natomiast prostej spółki akcyjnej, gdyż de lege lata posiedzenia jej organów zarządczych i nadzorczych mogą odbywać się </w:t>
      </w:r>
      <w:r w:rsidRPr="004E2DAA">
        <w:rPr>
          <w:rFonts w:ascii="Times New Roman" w:hAnsi="Times New Roman"/>
          <w:lang w:eastAsia="pl-PL"/>
        </w:rPr>
        <w:t xml:space="preserve">przy wykorzystaniu </w:t>
      </w:r>
      <w:r>
        <w:rPr>
          <w:rFonts w:ascii="Times New Roman" w:hAnsi="Times New Roman"/>
          <w:lang w:eastAsia="pl-PL"/>
        </w:rPr>
        <w:t>nowych technologii. Również uchwały mogą być podejmowane przez te organy</w:t>
      </w:r>
      <w:r w:rsidRPr="006821AD">
        <w:rPr>
          <w:rFonts w:ascii="Times New Roman" w:hAnsi="Times New Roman"/>
          <w:lang w:eastAsia="pl-PL"/>
        </w:rPr>
        <w:t xml:space="preserve"> </w:t>
      </w:r>
      <w:r w:rsidRPr="00047991">
        <w:rPr>
          <w:rFonts w:ascii="Times New Roman" w:hAnsi="Times New Roman"/>
          <w:lang w:eastAsia="pl-PL"/>
        </w:rPr>
        <w:t>przy wykorzystaniu środków bezpośredniego porozumiewania się na odległość</w:t>
      </w:r>
      <w:r>
        <w:rPr>
          <w:rFonts w:ascii="Times New Roman" w:hAnsi="Times New Roman"/>
          <w:lang w:eastAsia="pl-PL"/>
        </w:rPr>
        <w:t xml:space="preserve"> </w:t>
      </w:r>
      <w:r w:rsidRPr="006821AD">
        <w:rPr>
          <w:rFonts w:ascii="Times New Roman" w:hAnsi="Times New Roman"/>
          <w:lang w:eastAsia="pl-PL"/>
        </w:rPr>
        <w:t>bez konieczności zawarcia w umowie spółki odpowiedniego upoważnienia</w:t>
      </w:r>
      <w:r>
        <w:rPr>
          <w:rFonts w:ascii="Times New Roman" w:hAnsi="Times New Roman"/>
          <w:lang w:eastAsia="pl-PL"/>
        </w:rPr>
        <w:t>.</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Rozprzestrzenianie </w:t>
      </w:r>
      <w:r>
        <w:rPr>
          <w:rFonts w:ascii="Times New Roman" w:hAnsi="Times New Roman"/>
          <w:lang w:eastAsia="pl-PL"/>
        </w:rPr>
        <w:t xml:space="preserve">się </w:t>
      </w:r>
      <w:r w:rsidRPr="00691C98">
        <w:rPr>
          <w:rFonts w:ascii="Times New Roman" w:hAnsi="Times New Roman"/>
          <w:lang w:eastAsia="pl-PL"/>
        </w:rPr>
        <w:t xml:space="preserve">COVID-19 oraz stosowane środki ochrony mające na celu ograniczenie </w:t>
      </w:r>
      <w:r>
        <w:rPr>
          <w:rFonts w:ascii="Times New Roman" w:hAnsi="Times New Roman"/>
          <w:lang w:eastAsia="pl-PL"/>
        </w:rPr>
        <w:t>związanego z tym zagrożenia</w:t>
      </w:r>
      <w:r w:rsidRPr="00691C98">
        <w:rPr>
          <w:rFonts w:ascii="Times New Roman" w:hAnsi="Times New Roman"/>
          <w:lang w:eastAsia="pl-PL"/>
        </w:rPr>
        <w:t xml:space="preserve"> powodują istotne ryzyko paraliżu decyzyjnego dla blisko 500.000 spółek kapitałowych tworzących polską gospodarkę, w tym spółek publicznych. Zarządzane kwarantanny czy ograniczanie swobody podróży pomiędzy kontynentami lub państwami prowadzą do izolacji dużej liczby osób, wśród których znajdują się również członkowie organów, w tym przedstawiciele inwestorów zagranicznych. Wśród organów zarządzających i nadzorczych spółek z</w:t>
      </w:r>
      <w:r>
        <w:rPr>
          <w:rFonts w:ascii="Times New Roman" w:hAnsi="Times New Roman"/>
          <w:lang w:eastAsia="pl-PL"/>
        </w:rPr>
        <w:t> </w:t>
      </w:r>
      <w:r w:rsidRPr="00691C98">
        <w:rPr>
          <w:rFonts w:ascii="Times New Roman" w:hAnsi="Times New Roman"/>
          <w:lang w:eastAsia="pl-PL"/>
        </w:rPr>
        <w:t>indeksu WIG-20 oraz WIG-40 znajduje się wielu cudzoziemców. Sytuacja taka stwarza istotne ryzyko paraliżu działalności organów spółek, co spowodowane jest brakiem wyraźnego uregulowania w Kodeksie spółek handlowych możliwości odbywania posiedzeń zarządów z wykorzystaniem nowych technologii oraz ograniczonym dopuszczeniem ich stosowania w wypadku rad nadzorczych. Projektowane zmiany stanowią przy tym również odpowiedź na zgłaszane od wielu lat potrzeby rynku. Przyczynią się one zatem do usprawnienia działalności spółek także w standardowych warunkach ich funkcjonowania.</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Zasadnicza zmiana polega na wprowadzeniu możliwości odbywania posiedzeń zarządów i rad nadzorczych </w:t>
      </w:r>
      <w:r>
        <w:rPr>
          <w:rFonts w:ascii="Times New Roman" w:hAnsi="Times New Roman"/>
          <w:lang w:eastAsia="pl-PL"/>
        </w:rPr>
        <w:t>sp. z o.o. i S.A.</w:t>
      </w:r>
      <w:r w:rsidRPr="00691C98">
        <w:rPr>
          <w:rFonts w:ascii="Times New Roman" w:hAnsi="Times New Roman"/>
          <w:lang w:eastAsia="pl-PL"/>
        </w:rPr>
        <w:t xml:space="preserve"> z wykorzystaniem nowych technologii, tj. w szczególności w trybie </w:t>
      </w:r>
      <w:r w:rsidRPr="00691C98">
        <w:rPr>
          <w:rFonts w:ascii="Times New Roman" w:hAnsi="Times New Roman"/>
          <w:lang w:eastAsia="pl-PL"/>
        </w:rPr>
        <w:lastRenderedPageBreak/>
        <w:t>telekonferencji albo wideokonferencji. Aktualnie można spotkać się ze stanowiskiem, że posiedzenia wspomnianych organów spółek wymagają fizycznej obecności członków w jednym miejscu (</w:t>
      </w:r>
      <w:r>
        <w:rPr>
          <w:rFonts w:ascii="Times New Roman" w:hAnsi="Times New Roman"/>
          <w:lang w:eastAsia="pl-PL"/>
        </w:rPr>
        <w:t xml:space="preserve">jest to wyrażone </w:t>
      </w:r>
      <w:r w:rsidRPr="00691C98">
        <w:rPr>
          <w:rFonts w:ascii="Times New Roman" w:hAnsi="Times New Roman"/>
          <w:lang w:eastAsia="pl-PL"/>
        </w:rPr>
        <w:t>wprost w </w:t>
      </w:r>
      <w:r>
        <w:rPr>
          <w:rFonts w:ascii="Times New Roman" w:hAnsi="Times New Roman"/>
          <w:lang w:eastAsia="pl-PL"/>
        </w:rPr>
        <w:t xml:space="preserve">przepisach w </w:t>
      </w:r>
      <w:r w:rsidRPr="00691C98">
        <w:rPr>
          <w:rFonts w:ascii="Times New Roman" w:hAnsi="Times New Roman"/>
          <w:lang w:eastAsia="pl-PL"/>
        </w:rPr>
        <w:t>odniesieniu do organów nadzorczych</w:t>
      </w:r>
      <w:r>
        <w:rPr>
          <w:rFonts w:ascii="Times New Roman" w:hAnsi="Times New Roman"/>
          <w:lang w:eastAsia="pl-PL"/>
        </w:rPr>
        <w:t xml:space="preserve"> sp. z o.o. i S.A.: art. 222 § 1 KSH oraz</w:t>
      </w:r>
      <w:r w:rsidRPr="00691C98">
        <w:rPr>
          <w:rFonts w:ascii="Times New Roman" w:hAnsi="Times New Roman"/>
          <w:lang w:eastAsia="pl-PL"/>
        </w:rPr>
        <w:t xml:space="preserve"> art. 388 § 1 KSH). Kodeks spółek handlowych przewiduje wykorzystanie nowych technologii w</w:t>
      </w:r>
      <w:r>
        <w:rPr>
          <w:rFonts w:ascii="Times New Roman" w:hAnsi="Times New Roman"/>
          <w:lang w:eastAsia="pl-PL"/>
        </w:rPr>
        <w:t> </w:t>
      </w:r>
      <w:r w:rsidRPr="00691C98">
        <w:rPr>
          <w:rFonts w:ascii="Times New Roman" w:hAnsi="Times New Roman"/>
          <w:lang w:eastAsia="pl-PL"/>
        </w:rPr>
        <w:t xml:space="preserve">ramach organów nadzorczych </w:t>
      </w:r>
      <w:r>
        <w:rPr>
          <w:rFonts w:ascii="Times New Roman" w:hAnsi="Times New Roman"/>
          <w:lang w:eastAsia="pl-PL"/>
        </w:rPr>
        <w:t xml:space="preserve">sp. z o.o. i S.A. </w:t>
      </w:r>
      <w:r w:rsidRPr="00691C98">
        <w:rPr>
          <w:rFonts w:ascii="Times New Roman" w:hAnsi="Times New Roman"/>
          <w:lang w:eastAsia="pl-PL"/>
        </w:rPr>
        <w:t>wyłącznie w ramach procesu podejmowania uchwał. Sytuacja taka może skutkować niemożliwością odbycia posiedzenia, kiedy nie mogą być obecne osoby stanowiące co najmniej połowę członków organu. Dodatkowo taki stan prawny w sposób nieuzasadniony różnicuje liczbę osób biorących udział w posiedzeniu organu (osoby będące w miejscu posiedzenia) od liczby osób biorących udział w głosowaniu (osoby uczestniczące w</w:t>
      </w:r>
      <w:r>
        <w:rPr>
          <w:rFonts w:ascii="Times New Roman" w:hAnsi="Times New Roman"/>
          <w:lang w:eastAsia="pl-PL"/>
        </w:rPr>
        <w:t> </w:t>
      </w:r>
      <w:r w:rsidRPr="00691C98">
        <w:rPr>
          <w:rFonts w:ascii="Times New Roman" w:hAnsi="Times New Roman"/>
          <w:lang w:eastAsia="pl-PL"/>
        </w:rPr>
        <w:t xml:space="preserve">głosowaniach z wykorzystaniem nowych technologii). Proponowana regulacja ułatwi funkcjonowanie rad nadzorczych z udziałem osób zamieszkałych poza siedzibą spółki lub zagranicą. Proponowane zmiany zostały wprowadzone również </w:t>
      </w:r>
      <w:r>
        <w:rPr>
          <w:rFonts w:ascii="Times New Roman" w:hAnsi="Times New Roman"/>
          <w:lang w:eastAsia="pl-PL"/>
        </w:rPr>
        <w:t>w odniesieniu do zarządów sp. z o.o. i S.A.</w:t>
      </w:r>
      <w:r w:rsidRPr="00691C98">
        <w:rPr>
          <w:rFonts w:ascii="Times New Roman" w:hAnsi="Times New Roman"/>
          <w:lang w:eastAsia="pl-PL"/>
        </w:rPr>
        <w:t>, tak aby usunąć powstające dotychczas wątpliwości co do możliwości odbywania posiedzeń t</w:t>
      </w:r>
      <w:r>
        <w:rPr>
          <w:rFonts w:ascii="Times New Roman" w:hAnsi="Times New Roman"/>
          <w:lang w:eastAsia="pl-PL"/>
        </w:rPr>
        <w:t>ych organów</w:t>
      </w:r>
      <w:r w:rsidRPr="00691C98">
        <w:rPr>
          <w:rFonts w:ascii="Times New Roman" w:hAnsi="Times New Roman"/>
          <w:lang w:eastAsia="pl-PL"/>
        </w:rPr>
        <w:t xml:space="preserve"> np. w trybie</w:t>
      </w:r>
      <w:r>
        <w:rPr>
          <w:rFonts w:ascii="Times New Roman" w:hAnsi="Times New Roman"/>
          <w:lang w:eastAsia="pl-PL"/>
        </w:rPr>
        <w:t xml:space="preserve"> wideo- czy telekonferencji.</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Zaproponowane zmiany dotyczą również sposobu podejmowania uchwał przez rady nadzorcze oraz zarządy s</w:t>
      </w:r>
      <w:r>
        <w:rPr>
          <w:rFonts w:ascii="Times New Roman" w:hAnsi="Times New Roman"/>
          <w:lang w:eastAsia="pl-PL"/>
        </w:rPr>
        <w:t>p</w:t>
      </w:r>
      <w:r w:rsidRPr="00691C98">
        <w:rPr>
          <w:rFonts w:ascii="Times New Roman" w:hAnsi="Times New Roman"/>
          <w:lang w:eastAsia="pl-PL"/>
        </w:rPr>
        <w:t>.</w:t>
      </w:r>
      <w:r>
        <w:rPr>
          <w:rFonts w:ascii="Times New Roman" w:hAnsi="Times New Roman"/>
          <w:lang w:eastAsia="pl-PL"/>
        </w:rPr>
        <w:t xml:space="preserve"> z o.o. i S.A.</w:t>
      </w:r>
      <w:r w:rsidRPr="00691C98">
        <w:rPr>
          <w:rFonts w:ascii="Times New Roman" w:hAnsi="Times New Roman"/>
          <w:lang w:eastAsia="pl-PL"/>
        </w:rPr>
        <w:t xml:space="preserve"> Postuluje się możliwość podejmowania przez każdy z tych organów uchwał w</w:t>
      </w:r>
      <w:r>
        <w:rPr>
          <w:rFonts w:ascii="Times New Roman" w:hAnsi="Times New Roman"/>
          <w:lang w:eastAsia="pl-PL"/>
        </w:rPr>
        <w:t> </w:t>
      </w:r>
      <w:r w:rsidRPr="00691C98">
        <w:rPr>
          <w:rFonts w:ascii="Times New Roman" w:hAnsi="Times New Roman"/>
          <w:lang w:eastAsia="pl-PL"/>
        </w:rPr>
        <w:t>trybie pisemnym lub za pomocą środków bezpośredniego porozumiewania się na odległość, bez konieczności zawarcia w umowie spółki lub jej statucie odpowiedniego upoważnienia. Mając na względzie zróżnicowanie spółek</w:t>
      </w:r>
      <w:r>
        <w:rPr>
          <w:rFonts w:ascii="Times New Roman" w:hAnsi="Times New Roman"/>
          <w:lang w:eastAsia="pl-PL"/>
        </w:rPr>
        <w:t>,</w:t>
      </w:r>
      <w:r w:rsidRPr="00691C98">
        <w:rPr>
          <w:rFonts w:ascii="Times New Roman" w:hAnsi="Times New Roman"/>
          <w:lang w:eastAsia="pl-PL"/>
        </w:rPr>
        <w:t xml:space="preserve"> przyjęto przy tym możliwość wprowadzenia odmiennej regulacji </w:t>
      </w:r>
      <w:r>
        <w:rPr>
          <w:rFonts w:ascii="Times New Roman" w:hAnsi="Times New Roman"/>
          <w:lang w:eastAsia="pl-PL"/>
        </w:rPr>
        <w:t>w umowach lub statutach spółek.</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Aktualnie możliwość podejmowania uchwał w trybie pisemnym lub za pomocą środków bezpośredniego porozumiewania się na odległość uzależniona jest od wprowadzenia odpowiedniej regulacji w umowie </w:t>
      </w:r>
      <w:r>
        <w:rPr>
          <w:rFonts w:ascii="Times New Roman" w:hAnsi="Times New Roman"/>
          <w:lang w:eastAsia="pl-PL"/>
        </w:rPr>
        <w:t xml:space="preserve">sp. z o.o. </w:t>
      </w:r>
      <w:r w:rsidRPr="00691C98">
        <w:rPr>
          <w:rFonts w:ascii="Times New Roman" w:hAnsi="Times New Roman"/>
          <w:lang w:eastAsia="pl-PL"/>
        </w:rPr>
        <w:t xml:space="preserve">lub statucie </w:t>
      </w:r>
      <w:r>
        <w:rPr>
          <w:rFonts w:ascii="Times New Roman" w:hAnsi="Times New Roman"/>
          <w:lang w:eastAsia="pl-PL"/>
        </w:rPr>
        <w:t>S.A.</w:t>
      </w:r>
      <w:r w:rsidRPr="00691C98">
        <w:rPr>
          <w:rFonts w:ascii="Times New Roman" w:hAnsi="Times New Roman"/>
          <w:lang w:eastAsia="pl-PL"/>
        </w:rPr>
        <w:t xml:space="preserve"> (w odniesieniu do rad nadzorczych: art. 222 § 4 KSH, art. 388 § 3 KSH), co nie zawsze jest  możliwe. Po zmianach możliwość taka wynikać będzie wprost z przepisów prawa, zaś to jej wyłączenie będzie wymagać interwencji umownej lub statutowej. Przy tej okazji usunięto dotychczas istniejące ograniczenia dotyczące zakazu podejmowania uchwał w trybie pisemnym lub za pomocą środków bezpośredniego porozumiewania się na odległość</w:t>
      </w:r>
      <w:r>
        <w:rPr>
          <w:rFonts w:ascii="Times New Roman" w:hAnsi="Times New Roman"/>
          <w:lang w:eastAsia="pl-PL"/>
        </w:rPr>
        <w:t>,</w:t>
      </w:r>
      <w:r w:rsidRPr="00691C98">
        <w:rPr>
          <w:rFonts w:ascii="Times New Roman" w:hAnsi="Times New Roman"/>
          <w:lang w:eastAsia="pl-PL"/>
        </w:rPr>
        <w:t xml:space="preserve"> w przypadku gdy dotyczyły one wyborów przewodniczącego i wiceprzewodniczącego rady nadzorczej, powołania zarządu oraz odwołania i zawieszania w czynnościach tych osób (art. 222 § 5 KSH, art. 388 § 4 KSH). Praktyka pokazuje, że niejednokrotnie również podejmowanie decyzji w powyższych sprawach wymaga elastyczności i sprawności działania organu nadzoru, niezależnie od miejsca fizycznej obecności jego członków. W spółkach, w których wspólnicy postanowią o ograniczeniu czy wyłączeniu</w:t>
      </w:r>
      <w:r>
        <w:rPr>
          <w:rFonts w:ascii="Times New Roman" w:hAnsi="Times New Roman"/>
          <w:lang w:eastAsia="pl-PL"/>
        </w:rPr>
        <w:t>,</w:t>
      </w:r>
      <w:r w:rsidRPr="00691C98">
        <w:rPr>
          <w:rFonts w:ascii="Times New Roman" w:hAnsi="Times New Roman"/>
          <w:lang w:eastAsia="pl-PL"/>
        </w:rPr>
        <w:t xml:space="preserve"> będzie to w dalszym ciągu możliwe.</w:t>
      </w:r>
    </w:p>
    <w:p w:rsidR="00E619D2" w:rsidRPr="00691C98" w:rsidRDefault="00E619D2" w:rsidP="00E619D2">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Odesłanie do art. 406 5 § 3 </w:t>
      </w:r>
      <w:r>
        <w:rPr>
          <w:rFonts w:ascii="Times New Roman" w:hAnsi="Times New Roman"/>
          <w:lang w:eastAsia="pl-PL"/>
        </w:rPr>
        <w:t xml:space="preserve">KSH </w:t>
      </w:r>
      <w:r w:rsidRPr="00691C98">
        <w:rPr>
          <w:rFonts w:ascii="Times New Roman" w:hAnsi="Times New Roman"/>
          <w:lang w:eastAsia="pl-PL"/>
        </w:rPr>
        <w:t xml:space="preserve">ma wyeliminować ewentualne wątpliwości i potwierdzić, że odbywanie posiedzeń przy użyciu środków bezpośredniego porozumiewania się na odległość nie </w:t>
      </w:r>
      <w:r w:rsidRPr="00691C98">
        <w:rPr>
          <w:rFonts w:ascii="Times New Roman" w:hAnsi="Times New Roman"/>
          <w:lang w:eastAsia="pl-PL"/>
        </w:rPr>
        <w:lastRenderedPageBreak/>
        <w:t>narusza obowiązków określonych w przepisach o ofercie publicznej i warunkach wprowadzania instrumentów finansowych do zorganizowanego systemu obrotu oraz o spółkach publicznych.</w:t>
      </w:r>
    </w:p>
    <w:p w:rsidR="00B00620" w:rsidRPr="00691C98"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odnoszące się do ustawy o dozorze technicznym:</w:t>
      </w:r>
    </w:p>
    <w:p w:rsidR="00B00620" w:rsidRPr="00691C98" w:rsidRDefault="00B00620" w:rsidP="00B00620">
      <w:pPr>
        <w:suppressAutoHyphens/>
        <w:autoSpaceDE w:val="0"/>
        <w:autoSpaceDN w:val="0"/>
        <w:adjustRightInd w:val="0"/>
        <w:spacing w:after="120" w:line="360" w:lineRule="auto"/>
        <w:jc w:val="both"/>
        <w:rPr>
          <w:rFonts w:ascii="Times New Roman" w:hAnsi="Times New Roman"/>
          <w:lang w:eastAsia="pl-PL"/>
        </w:rPr>
      </w:pPr>
      <w:r w:rsidRPr="00FD6A0E">
        <w:rPr>
          <w:rFonts w:ascii="Times New Roman" w:hAnsi="Times New Roman"/>
          <w:lang w:eastAsia="pl-PL"/>
        </w:rPr>
        <w:t>Przepis zmieniający ustawę o dozorze technicznym i wprowadzający do niej przepisy epizodyczne ma na celu umożliwienie organom jednostek dozoru technicznego wykonania przypadających w</w:t>
      </w:r>
      <w:r>
        <w:rPr>
          <w:rFonts w:ascii="Times New Roman" w:hAnsi="Times New Roman"/>
          <w:lang w:eastAsia="pl-PL"/>
        </w:rPr>
        <w:t> </w:t>
      </w:r>
      <w:r w:rsidRPr="00FD6A0E">
        <w:rPr>
          <w:rFonts w:ascii="Times New Roman" w:hAnsi="Times New Roman"/>
          <w:lang w:eastAsia="pl-PL"/>
        </w:rPr>
        <w:t>kolejnych tygodniach badań urządzeń technicznych, a w konsekwencji zezwolenia na ich eksploatację, w odroczonym terminie. Proponowane rozwiązanie jest odpowiedzią na oczekiwania przedsiębiorców i innych eksploatujących urządzenia techniczne, którzy ze względu na obecną sytuację związaną z epidemią COVID-19 chcieliby - tam gdzie to możliwe i gdzie nie powoduje to zagrożenia dla życia i zdrowia - przełożyć termin wykonania badań urządzeń technicznych (m.in. okresowych badań technicznych), z zachowaniem możliwości eksploatacji tych urządzeń przez maksymalny okres kolejnych 6 miesięcy. Odroczenie terminu badań może nastąpić na wniosek eksploatującego po uprzednim złożeniu stosownego oświadczenia. Zarówno wniosek jak i</w:t>
      </w:r>
      <w:r>
        <w:rPr>
          <w:rFonts w:ascii="Times New Roman" w:hAnsi="Times New Roman"/>
          <w:lang w:eastAsia="pl-PL"/>
        </w:rPr>
        <w:t> </w:t>
      </w:r>
      <w:r w:rsidRPr="00FD6A0E">
        <w:rPr>
          <w:rFonts w:ascii="Times New Roman" w:hAnsi="Times New Roman"/>
          <w:lang w:eastAsia="pl-PL"/>
        </w:rPr>
        <w:t>oświadczenie mogą być złożone bez konieczności wizyty w urzędzie, co jest istotne w perspektywie przeciwdziałania COVID-19. Przepis posługuje się zwrotem „środków komunikacji elektronicznej” w</w:t>
      </w:r>
      <w:r>
        <w:rPr>
          <w:rFonts w:ascii="Times New Roman" w:hAnsi="Times New Roman"/>
          <w:lang w:eastAsia="pl-PL"/>
        </w:rPr>
        <w:t> </w:t>
      </w:r>
      <w:r w:rsidRPr="00FD6A0E">
        <w:rPr>
          <w:rFonts w:ascii="Times New Roman" w:hAnsi="Times New Roman"/>
          <w:lang w:eastAsia="pl-PL"/>
        </w:rPr>
        <w:t>rozumieniu art. 2 pkt 5 ustawy o świadczeniu usług drogą elektroniczną, który oznacza rozwiązania techniczne, w tym urządzenia teleinformatyczne i współpracujące z nimi narzędzia programowe, umożliwiające indywidualne porozumiewanie się na odległość przy wykorzystaniu transmisji danych między systemami teleinformatycznymi, a w szczególności pocztę elektroniczną. Jednocześnie dopuszcza się złożenie wniosku i oświadczenia na piśmie. Rozwiązanie umożliwiające w uzasadnionych przypadkach odroczenie terminu wykonania badań stosowane jest już w rozporządzeniu Ministra Gospodarki, Pracy i Polityki Społecznej w sprawie warunków technicznych dozoru technicznego w zakresie eksploatacji niektórych urządzeń ciśnieniowych w stosunku do wybranych typów urządzeń ciśnieniowych (§28). Przyjęcie takiego rozwiązania zapewni z jednej strony ciągłość operacyjną dla eksploatujących urządzenia techniczne, a</w:t>
      </w:r>
      <w:r>
        <w:rPr>
          <w:rFonts w:ascii="Times New Roman" w:hAnsi="Times New Roman"/>
          <w:lang w:eastAsia="pl-PL"/>
        </w:rPr>
        <w:t> </w:t>
      </w:r>
      <w:r w:rsidRPr="00FD6A0E">
        <w:rPr>
          <w:rFonts w:ascii="Times New Roman" w:hAnsi="Times New Roman"/>
          <w:lang w:eastAsia="pl-PL"/>
        </w:rPr>
        <w:t>z drugiej przyczyni się do zmniejszenia wizyt inspektorów dozoru technicznego w</w:t>
      </w:r>
      <w:r>
        <w:rPr>
          <w:rFonts w:ascii="Times New Roman" w:hAnsi="Times New Roman"/>
          <w:lang w:eastAsia="pl-PL"/>
        </w:rPr>
        <w:t> </w:t>
      </w:r>
      <w:r w:rsidRPr="00FD6A0E">
        <w:rPr>
          <w:rFonts w:ascii="Times New Roman" w:hAnsi="Times New Roman"/>
          <w:lang w:eastAsia="pl-PL"/>
        </w:rPr>
        <w:t>przedsiębiorstwach w całej Polsce i będzie odpowiedzią na oczekiwania branży co do elastyczności urzędów wobec obecnej sytuacji epidemicznej.</w:t>
      </w:r>
    </w:p>
    <w:p w:rsidR="00B00620"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Zmiany odnoszące się do ustawy </w:t>
      </w:r>
      <w:r>
        <w:rPr>
          <w:rFonts w:ascii="Times New Roman" w:hAnsi="Times New Roman"/>
          <w:b/>
          <w:lang w:eastAsia="pl-PL"/>
        </w:rPr>
        <w:t>– Prawo o miarach</w:t>
      </w:r>
      <w:r w:rsidRPr="00691C98">
        <w:rPr>
          <w:rFonts w:ascii="Times New Roman" w:hAnsi="Times New Roman"/>
          <w:b/>
          <w:lang w:eastAsia="pl-PL"/>
        </w:rPr>
        <w:t>:</w:t>
      </w:r>
    </w:p>
    <w:p w:rsidR="00B00620" w:rsidRPr="00EC3A86" w:rsidRDefault="00B00620" w:rsidP="00B00620">
      <w:pPr>
        <w:spacing w:after="120" w:line="360" w:lineRule="auto"/>
        <w:jc w:val="both"/>
        <w:rPr>
          <w:rFonts w:ascii="Times New Roman" w:hAnsi="Times New Roman"/>
        </w:rPr>
      </w:pPr>
      <w:r w:rsidRPr="00EC3A86">
        <w:rPr>
          <w:rFonts w:ascii="Times New Roman" w:hAnsi="Times New Roman"/>
        </w:rPr>
        <w:t xml:space="preserve">Przepis zmieniający ustawę - Prawo o miarach ma na celu umożliwienie  organom administracji miar w 2020 r. odraczanie terminu dokonania legalizacji </w:t>
      </w:r>
      <w:r>
        <w:rPr>
          <w:rFonts w:ascii="Times New Roman" w:hAnsi="Times New Roman"/>
        </w:rPr>
        <w:t xml:space="preserve">ponownej </w:t>
      </w:r>
      <w:r w:rsidRPr="00EC3A86">
        <w:rPr>
          <w:rFonts w:ascii="Times New Roman" w:hAnsi="Times New Roman"/>
        </w:rPr>
        <w:t>i</w:t>
      </w:r>
      <w:r>
        <w:rPr>
          <w:rFonts w:ascii="Times New Roman" w:hAnsi="Times New Roman"/>
        </w:rPr>
        <w:t> </w:t>
      </w:r>
      <w:r w:rsidRPr="00EC3A86">
        <w:rPr>
          <w:rFonts w:ascii="Times New Roman" w:hAnsi="Times New Roman"/>
        </w:rPr>
        <w:t>zezwalanie na dalsze użytkowanie przyrządów pomiarowych, ale przez okres nie dłuższy niż 6 miesięcy.</w:t>
      </w:r>
    </w:p>
    <w:p w:rsidR="00E619D2" w:rsidRDefault="00B00620" w:rsidP="00B00620">
      <w:pPr>
        <w:pStyle w:val="NormalnyWeb"/>
        <w:spacing w:after="120" w:line="360" w:lineRule="auto"/>
        <w:jc w:val="both"/>
        <w:rPr>
          <w:rFonts w:eastAsiaTheme="minorEastAsia"/>
          <w:sz w:val="22"/>
          <w:szCs w:val="22"/>
        </w:rPr>
      </w:pPr>
      <w:r w:rsidRPr="00EC3A86">
        <w:rPr>
          <w:sz w:val="22"/>
          <w:szCs w:val="22"/>
        </w:rPr>
        <w:t>Proponowane rozwiązanie wynika z sytuacji stanu zagrożenia epidemicznego</w:t>
      </w:r>
      <w:r w:rsidRPr="00EC3A86">
        <w:rPr>
          <w:rFonts w:eastAsiaTheme="minorEastAsia"/>
          <w:sz w:val="22"/>
          <w:szCs w:val="22"/>
        </w:rPr>
        <w:t xml:space="preserve"> obowiązując</w:t>
      </w:r>
      <w:r>
        <w:rPr>
          <w:rFonts w:eastAsiaTheme="minorEastAsia"/>
          <w:sz w:val="22"/>
          <w:szCs w:val="22"/>
        </w:rPr>
        <w:t>ego</w:t>
      </w:r>
      <w:r w:rsidRPr="00EC3A86">
        <w:rPr>
          <w:rFonts w:eastAsiaTheme="minorEastAsia"/>
          <w:sz w:val="22"/>
          <w:szCs w:val="22"/>
        </w:rPr>
        <w:t xml:space="preserve"> na terenie kraju</w:t>
      </w:r>
      <w:r>
        <w:rPr>
          <w:rFonts w:eastAsiaTheme="minorEastAsia"/>
          <w:sz w:val="22"/>
          <w:szCs w:val="22"/>
        </w:rPr>
        <w:t>. J</w:t>
      </w:r>
      <w:r w:rsidRPr="00EC3A86">
        <w:rPr>
          <w:sz w:val="22"/>
          <w:szCs w:val="22"/>
        </w:rPr>
        <w:t xml:space="preserve">est odpowiedzią na oczekiwania przedsiębiorców </w:t>
      </w:r>
      <w:r>
        <w:rPr>
          <w:sz w:val="22"/>
          <w:szCs w:val="22"/>
        </w:rPr>
        <w:t>oraz</w:t>
      </w:r>
      <w:r w:rsidRPr="00EC3A86">
        <w:rPr>
          <w:sz w:val="22"/>
          <w:szCs w:val="22"/>
        </w:rPr>
        <w:t xml:space="preserve"> innych użytkowników przyrządów pomiarowych, którzy ze względu na obecną sytuację związaną z epidemią COVID-19 </w:t>
      </w:r>
      <w:r w:rsidRPr="00EC3A86">
        <w:rPr>
          <w:sz w:val="22"/>
          <w:szCs w:val="22"/>
        </w:rPr>
        <w:lastRenderedPageBreak/>
        <w:t>chcieliby - tam gdzie to możliwe i gdzie nie powoduje to zagrożenia dla życia i zdrowia - przełożyć termin dokonania legalizacji</w:t>
      </w:r>
      <w:r>
        <w:rPr>
          <w:sz w:val="22"/>
          <w:szCs w:val="22"/>
        </w:rPr>
        <w:t xml:space="preserve"> ponownej </w:t>
      </w:r>
      <w:r w:rsidRPr="00EC3A86">
        <w:rPr>
          <w:sz w:val="22"/>
          <w:szCs w:val="22"/>
        </w:rPr>
        <w:t xml:space="preserve">przyrządów pomiarowych, z zachowaniem możliwości dalszego użytkowania  tych przyrządów pomiarowych przez maksymalnie okres kolejnych 6 miesięcy. Odroczenie terminu dokonania legalizacji może nastąpić na wniosek podmiotu uprawnionego do złożenia wniosku o dokonanie legalizacji </w:t>
      </w:r>
      <w:r>
        <w:rPr>
          <w:sz w:val="22"/>
          <w:szCs w:val="22"/>
        </w:rPr>
        <w:t xml:space="preserve">ponownej </w:t>
      </w:r>
      <w:r w:rsidRPr="00EC3A86">
        <w:rPr>
          <w:sz w:val="22"/>
          <w:szCs w:val="22"/>
        </w:rPr>
        <w:t>wraz ze złożenie</w:t>
      </w:r>
      <w:r>
        <w:rPr>
          <w:sz w:val="22"/>
          <w:szCs w:val="22"/>
        </w:rPr>
        <w:t>m</w:t>
      </w:r>
      <w:r w:rsidRPr="00EC3A86">
        <w:rPr>
          <w:sz w:val="22"/>
          <w:szCs w:val="22"/>
        </w:rPr>
        <w:t xml:space="preserve"> stosownego oświadczenia. Zarówno wniosek jak i oświadczenie mogą być złożone bez konieczności wizyty w urzędzie, co jest istotne w perspektywie przeciwdziałania COVID-19. Projektowany przepis posługuje się zwrotem „środków komunikacji elektronicznej” w rozumieniu art. 2 pkt 5 ustawy o</w:t>
      </w:r>
      <w:r>
        <w:rPr>
          <w:sz w:val="22"/>
          <w:szCs w:val="22"/>
        </w:rPr>
        <w:t> </w:t>
      </w:r>
      <w:r w:rsidRPr="00EC3A86">
        <w:rPr>
          <w:sz w:val="22"/>
          <w:szCs w:val="22"/>
        </w:rPr>
        <w:t xml:space="preserve">świadczeniu usług drogą elektroniczną, który oznacza rozwiązania techniczne, w tym urządzenia teleinformatyczne i współpracujące z nimi narzędzia programowe, umożliwiające indywidualne porozumiewanie się na odległość przy wykorzystaniu transmisji danych między systemami teleinformatycznymi, a w szczególności pocztę elektroniczną. Jednocześnie dopuszcza się złożenie wniosku i oświadczenia na piśmie. Przyjęcie takiego rozwiązania zapewni z jednej strony ciągłość operacyjną dla użytkujących przyrządy pomiarowe i będzie odpowiedzią na oczekiwania przedsiębiorców co do elastyczności urzędów wobec obecnej sytuacji epidemicznej, a z drugiej strony przyczyni się do ochrony </w:t>
      </w:r>
      <w:r w:rsidRPr="00EC3A86">
        <w:rPr>
          <w:rFonts w:eastAsiaTheme="minorEastAsia"/>
          <w:sz w:val="22"/>
          <w:szCs w:val="22"/>
        </w:rPr>
        <w:t>życia i zdrowia ponad 1.600 pracowników administracji miar, którzy wyjeżdżając do klientów, wykonują swoją pracę często w miejscach publicznych, przez co narażeni są na ryzyko infekcji koronawirusem.</w:t>
      </w:r>
    </w:p>
    <w:p w:rsidR="00B00620" w:rsidRPr="00691C98"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 xml:space="preserve">Zmiana ustawy </w:t>
      </w:r>
      <w:r w:rsidRPr="00691C98">
        <w:rPr>
          <w:rFonts w:ascii="Times New Roman" w:eastAsia="Times New Roman" w:hAnsi="Times New Roman"/>
          <w:b/>
          <w:lang w:eastAsia="pl-PL"/>
        </w:rPr>
        <w:t>o organizowaniu zadań na rzecz obronności państwa realizowanych przez przedsiębiorców:</w:t>
      </w:r>
    </w:p>
    <w:p w:rsidR="00B00620" w:rsidRPr="00691C98" w:rsidRDefault="00B00620" w:rsidP="00B00620">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Proponowana poprawka ma na celu rozszerzenie katalogu przedmiotów działalności, w zakresie których będą mogły być uruchomione zadania podczas selektywnego uruchomienia programu mobilizacji gospodarki. W aktualnym brzmieniu przepisu Minister Obrony Narodowej mógłby wskazać jedynie przedmiot działalności, o której mowa w art. 3 ustawy o organizowaniu zadań na rzecz obronności państwa realizowanych przez przedsiębiorców. W przepisie tym nie zostały jednak wymienione wszystkie rodzaje działalności, w zakresie których mogą być uruchamiane zadania obronne (brak np. działalności budowlanej). Wynika to z tego, że art. 3 ww. ustawy definiując przedsiębiorcę o szczególnym znaczeniu gospodarczo-obronnym posługuje się nie tylko kryterium przedmiotu wykonywanej działalności, ale także obszaru działania. Zatem przedsiębiorcą o szczególnym znaczeniu gospodarczo-obronnym może być również przedsiębiorca nie wykonujący żadnego z przedmiotów działalności wymienionych w art. 3 ustawy. Tym samym zadania obronne mogą być uruchamiane również w innych niż określone w art. 3 rodzajach działalności gospodarczej.</w:t>
      </w:r>
    </w:p>
    <w:p w:rsidR="00B00620" w:rsidRPr="00B37334" w:rsidRDefault="00B00620" w:rsidP="00B00620">
      <w:pPr>
        <w:suppressAutoHyphens/>
        <w:autoSpaceDE w:val="0"/>
        <w:autoSpaceDN w:val="0"/>
        <w:adjustRightInd w:val="0"/>
        <w:spacing w:after="120" w:line="360" w:lineRule="auto"/>
        <w:jc w:val="both"/>
        <w:rPr>
          <w:rFonts w:ascii="Times New Roman" w:hAnsi="Times New Roman"/>
          <w:lang w:eastAsia="pl-PL"/>
        </w:rPr>
      </w:pPr>
      <w:r w:rsidRPr="00B37334">
        <w:rPr>
          <w:rFonts w:ascii="Times New Roman" w:hAnsi="Times New Roman"/>
          <w:lang w:eastAsia="pl-PL"/>
        </w:rPr>
        <w:t xml:space="preserve">Zadania jakie mogą być realizowane w ramach </w:t>
      </w:r>
      <w:r>
        <w:rPr>
          <w:rFonts w:ascii="Times New Roman" w:hAnsi="Times New Roman"/>
          <w:lang w:eastAsia="pl-PL"/>
        </w:rPr>
        <w:t>programu mobilizacji gospodarki określa art. 2 pkt. 1 </w:t>
      </w:r>
      <w:r w:rsidRPr="00B37334">
        <w:rPr>
          <w:rFonts w:ascii="Times New Roman" w:hAnsi="Times New Roman"/>
          <w:lang w:eastAsia="pl-PL"/>
        </w:rPr>
        <w:t>ustawy o organizowaniu zadań na rzecz obronności państwa realizo</w:t>
      </w:r>
      <w:r>
        <w:rPr>
          <w:rFonts w:ascii="Times New Roman" w:hAnsi="Times New Roman"/>
          <w:lang w:eastAsia="pl-PL"/>
        </w:rPr>
        <w:t>wanych przez przedsiębiorców, a </w:t>
      </w:r>
      <w:r w:rsidRPr="00B37334">
        <w:rPr>
          <w:rFonts w:ascii="Times New Roman" w:hAnsi="Times New Roman"/>
          <w:lang w:eastAsia="pl-PL"/>
        </w:rPr>
        <w:t xml:space="preserve">uszczegóławia je art 4a ustawy, zawężając je do zadań dotyczących dostaw lub remontów uzbrojenia i sprzętu wojskowego oraz nowego zadania: dotyczącego wytwarzania i dystrybucji produktów leczniczych, środków spożywczych specjalnego przeznaczenia żywnościowego, środków ochronnych </w:t>
      </w:r>
      <w:r w:rsidRPr="00B37334">
        <w:rPr>
          <w:rFonts w:ascii="Times New Roman" w:hAnsi="Times New Roman"/>
          <w:lang w:eastAsia="pl-PL"/>
        </w:rPr>
        <w:lastRenderedPageBreak/>
        <w:t>i wyrobów medycznych oraz udzielania świadczeń medycznych. Zadanie te mogą realizować tylko przedsiębiorcy o szczególnym znaczeniu gospodarczo-obronnym.</w:t>
      </w:r>
    </w:p>
    <w:p w:rsidR="00B00620" w:rsidRDefault="00B00620" w:rsidP="00B00620">
      <w:pPr>
        <w:suppressAutoHyphens/>
        <w:autoSpaceDE w:val="0"/>
        <w:autoSpaceDN w:val="0"/>
        <w:adjustRightInd w:val="0"/>
        <w:spacing w:after="120" w:line="360" w:lineRule="auto"/>
        <w:jc w:val="both"/>
        <w:rPr>
          <w:rFonts w:ascii="Times New Roman" w:hAnsi="Times New Roman"/>
          <w:lang w:eastAsia="pl-PL"/>
        </w:rPr>
      </w:pPr>
      <w:r w:rsidRPr="00B37334">
        <w:rPr>
          <w:rFonts w:ascii="Times New Roman" w:hAnsi="Times New Roman"/>
          <w:lang w:eastAsia="pl-PL"/>
        </w:rPr>
        <w:t xml:space="preserve">Zgodnie z przepisami art. 4b ust. 1 ustawy Prezes Rady Ministrów uruchomi </w:t>
      </w:r>
      <w:r>
        <w:rPr>
          <w:rFonts w:ascii="Times New Roman" w:hAnsi="Times New Roman"/>
          <w:lang w:eastAsia="pl-PL"/>
        </w:rPr>
        <w:t>program mobilizacji gospodarki</w:t>
      </w:r>
      <w:r w:rsidRPr="00B37334">
        <w:rPr>
          <w:rFonts w:ascii="Times New Roman" w:hAnsi="Times New Roman"/>
          <w:lang w:eastAsia="pl-PL"/>
        </w:rPr>
        <w:t xml:space="preserve"> w drodze rozporządzenia, a Minister Obrony Narodowej, w drodze rozporządzenia, wskaże zadania, które maja być uruchomione podczas jego selektywnego uruchomienia. Biorąc pod uwagę, że </w:t>
      </w:r>
      <w:r>
        <w:rPr>
          <w:rFonts w:ascii="Times New Roman" w:hAnsi="Times New Roman"/>
          <w:lang w:eastAsia="pl-PL"/>
        </w:rPr>
        <w:t xml:space="preserve">program mobilizacji gospodarki </w:t>
      </w:r>
      <w:r w:rsidRPr="00B37334">
        <w:rPr>
          <w:rFonts w:ascii="Times New Roman" w:hAnsi="Times New Roman"/>
          <w:lang w:eastAsia="pl-PL"/>
        </w:rPr>
        <w:t xml:space="preserve">jest dokumentem niejawnym zakłada się, że w ww. rozporządzeniu określone zostaną numery zadań z </w:t>
      </w:r>
      <w:r>
        <w:rPr>
          <w:rFonts w:ascii="Times New Roman" w:hAnsi="Times New Roman"/>
          <w:lang w:eastAsia="pl-PL"/>
        </w:rPr>
        <w:t>programu mobilizacji gospodarki</w:t>
      </w:r>
      <w:r w:rsidRPr="00B37334">
        <w:rPr>
          <w:rFonts w:ascii="Times New Roman" w:hAnsi="Times New Roman"/>
          <w:lang w:eastAsia="pl-PL"/>
        </w:rPr>
        <w:t>, które będą podlegały uruchomieniu w ramach selektywnego uruchamiania programu</w:t>
      </w:r>
      <w:r>
        <w:rPr>
          <w:rFonts w:ascii="Times New Roman" w:hAnsi="Times New Roman"/>
          <w:lang w:eastAsia="pl-PL"/>
        </w:rPr>
        <w:t>.</w:t>
      </w:r>
    </w:p>
    <w:p w:rsidR="00B00620" w:rsidRPr="00766D13" w:rsidRDefault="00B00620" w:rsidP="00B00620">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Ponadto w</w:t>
      </w:r>
      <w:r w:rsidRPr="00766D13">
        <w:rPr>
          <w:rFonts w:ascii="Times New Roman" w:hAnsi="Times New Roman"/>
          <w:lang w:eastAsia="pl-PL"/>
        </w:rPr>
        <w:t xml:space="preserve"> aktualnym brzmieniu ust. 7 Minister Obrony Narodowej </w:t>
      </w:r>
      <w:r>
        <w:rPr>
          <w:rFonts w:ascii="Times New Roman" w:hAnsi="Times New Roman"/>
          <w:lang w:eastAsia="pl-PL"/>
        </w:rPr>
        <w:t>nie posiada wiedzy o rodzaju i </w:t>
      </w:r>
      <w:r w:rsidRPr="00766D13">
        <w:rPr>
          <w:rFonts w:ascii="Times New Roman" w:hAnsi="Times New Roman"/>
          <w:lang w:eastAsia="pl-PL"/>
        </w:rPr>
        <w:t>charakterze wniosków składanych przez organy, o których mowa w art.</w:t>
      </w:r>
      <w:r>
        <w:rPr>
          <w:rFonts w:ascii="Times New Roman" w:hAnsi="Times New Roman"/>
          <w:lang w:eastAsia="pl-PL"/>
        </w:rPr>
        <w:t xml:space="preserve"> </w:t>
      </w:r>
      <w:r w:rsidRPr="00766D13">
        <w:rPr>
          <w:rFonts w:ascii="Times New Roman" w:hAnsi="Times New Roman"/>
          <w:lang w:eastAsia="pl-PL"/>
        </w:rPr>
        <w:t xml:space="preserve">5, do Prezesa Rady Ministrów o selektywne uruchomienie </w:t>
      </w:r>
      <w:r>
        <w:rPr>
          <w:rFonts w:ascii="Times New Roman" w:hAnsi="Times New Roman"/>
          <w:lang w:eastAsia="pl-PL"/>
        </w:rPr>
        <w:t>programu mobilizacji gospodarki</w:t>
      </w:r>
      <w:r w:rsidRPr="00766D13">
        <w:rPr>
          <w:rFonts w:ascii="Times New Roman" w:hAnsi="Times New Roman"/>
          <w:lang w:eastAsia="pl-PL"/>
        </w:rPr>
        <w:t>. W konsekwencji nie będzie mógł wydać rozporządzenia określającego zadania</w:t>
      </w:r>
      <w:r>
        <w:rPr>
          <w:rFonts w:ascii="Times New Roman" w:hAnsi="Times New Roman"/>
          <w:lang w:eastAsia="pl-PL"/>
        </w:rPr>
        <w:t>,</w:t>
      </w:r>
      <w:r w:rsidRPr="00766D13">
        <w:rPr>
          <w:rFonts w:ascii="Times New Roman" w:hAnsi="Times New Roman"/>
          <w:lang w:eastAsia="pl-PL"/>
        </w:rPr>
        <w:t xml:space="preserve"> jakie mają być uruchomione w ramach selektywnego uruchomienia </w:t>
      </w:r>
      <w:r>
        <w:rPr>
          <w:rFonts w:ascii="Times New Roman" w:hAnsi="Times New Roman"/>
          <w:lang w:eastAsia="pl-PL"/>
        </w:rPr>
        <w:t>programu mobilizacji gospodarki</w:t>
      </w:r>
      <w:r w:rsidRPr="00766D13">
        <w:rPr>
          <w:rFonts w:ascii="Times New Roman" w:hAnsi="Times New Roman"/>
          <w:lang w:eastAsia="pl-PL"/>
        </w:rPr>
        <w:t>.</w:t>
      </w:r>
    </w:p>
    <w:p w:rsidR="00B00620" w:rsidRDefault="00B00620" w:rsidP="00B00620">
      <w:pPr>
        <w:suppressAutoHyphens/>
        <w:autoSpaceDE w:val="0"/>
        <w:autoSpaceDN w:val="0"/>
        <w:adjustRightInd w:val="0"/>
        <w:spacing w:after="120" w:line="360" w:lineRule="auto"/>
        <w:jc w:val="both"/>
        <w:rPr>
          <w:rFonts w:ascii="Times New Roman" w:hAnsi="Times New Roman"/>
          <w:lang w:eastAsia="pl-PL"/>
        </w:rPr>
      </w:pPr>
      <w:r w:rsidRPr="00766D13">
        <w:rPr>
          <w:rFonts w:ascii="Times New Roman" w:hAnsi="Times New Roman"/>
          <w:lang w:eastAsia="pl-PL"/>
        </w:rPr>
        <w:t xml:space="preserve">Wprowadzony </w:t>
      </w:r>
      <w:r>
        <w:rPr>
          <w:rFonts w:ascii="Times New Roman" w:hAnsi="Times New Roman"/>
          <w:lang w:eastAsia="pl-PL"/>
        </w:rPr>
        <w:t xml:space="preserve">przepis </w:t>
      </w:r>
      <w:r w:rsidRPr="00766D13">
        <w:rPr>
          <w:rFonts w:ascii="Times New Roman" w:hAnsi="Times New Roman"/>
          <w:lang w:eastAsia="pl-PL"/>
        </w:rPr>
        <w:t>obliguje organy wnioskujące do Prezesa Rady Ministrów o selektywne uruchomienie</w:t>
      </w:r>
      <w:r>
        <w:rPr>
          <w:rFonts w:ascii="Times New Roman" w:hAnsi="Times New Roman"/>
          <w:lang w:eastAsia="pl-PL"/>
        </w:rPr>
        <w:t xml:space="preserve"> programu mobilizacji gospodarki</w:t>
      </w:r>
      <w:r w:rsidRPr="00766D13">
        <w:rPr>
          <w:rFonts w:ascii="Times New Roman" w:hAnsi="Times New Roman"/>
          <w:lang w:eastAsia="pl-PL"/>
        </w:rPr>
        <w:t xml:space="preserve"> do informowania o tym fakcie Ministra Obrony Narodowej, co umożliwi mu właściwą realizację przepisów ust. 5.</w:t>
      </w:r>
    </w:p>
    <w:p w:rsidR="00153D72" w:rsidRDefault="00153D72"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Zmiana ustawy </w:t>
      </w:r>
      <w:r w:rsidRPr="00153D72">
        <w:rPr>
          <w:rFonts w:ascii="Times New Roman" w:hAnsi="Times New Roman"/>
          <w:b/>
          <w:lang w:eastAsia="pl-PL"/>
        </w:rPr>
        <w:t>o informatyzacji działalności podmiotów realizujących z</w:t>
      </w:r>
      <w:r w:rsidR="002F781F">
        <w:rPr>
          <w:rFonts w:ascii="Times New Roman" w:hAnsi="Times New Roman"/>
          <w:b/>
          <w:lang w:eastAsia="pl-PL"/>
        </w:rPr>
        <w:t>a</w:t>
      </w:r>
      <w:r w:rsidRPr="00153D72">
        <w:rPr>
          <w:rFonts w:ascii="Times New Roman" w:hAnsi="Times New Roman"/>
          <w:b/>
          <w:lang w:eastAsia="pl-PL"/>
        </w:rPr>
        <w:t>dania publiczne</w:t>
      </w:r>
      <w:r>
        <w:rPr>
          <w:rFonts w:ascii="Times New Roman" w:hAnsi="Times New Roman"/>
          <w:b/>
          <w:lang w:eastAsia="pl-PL"/>
        </w:rPr>
        <w:t>:</w:t>
      </w:r>
    </w:p>
    <w:p w:rsidR="00153D72" w:rsidRPr="00153D72" w:rsidRDefault="00153D72" w:rsidP="00153D72">
      <w:pPr>
        <w:suppressAutoHyphens/>
        <w:autoSpaceDE w:val="0"/>
        <w:autoSpaceDN w:val="0"/>
        <w:adjustRightInd w:val="0"/>
        <w:spacing w:after="120" w:line="360" w:lineRule="auto"/>
        <w:jc w:val="both"/>
        <w:rPr>
          <w:rFonts w:ascii="Times New Roman" w:hAnsi="Times New Roman"/>
          <w:lang w:eastAsia="pl-PL"/>
        </w:rPr>
      </w:pPr>
      <w:r w:rsidRPr="00153D72">
        <w:rPr>
          <w:rFonts w:ascii="Times New Roman" w:hAnsi="Times New Roman"/>
          <w:lang w:eastAsia="pl-PL"/>
        </w:rPr>
        <w:t>W okresie stanu zagrożenia epidemicznego, w którym kluczowym zaleceniem jest, aby obywatele pozostali w swoich domach, szczególnego znaczenia nabierają wszelkie rozwiązania pozwalające na załatwienie spaw w administracji publicznej na odległość. Korzystanie z usług e-administracji wymaga od obywateli posiadania i posługiwania się określonymi środkami identyfikacji elektronicznej oraz podpisami elektronicznymi. Część obywateli posiada już „profile zaufane” oraz „profile osobiste” (stanowiące funkcjonalność dowodu osobistego z warstwą elektroniczną), które pozwalają na składanie „podpisu zaufanego”, oraz dowód osobisty z warstwą elektroniczną pozwalający na składanie „podpisu osobistego”. Z myślą o tych osobach, które z różnych powodów nadal nie posiadają możliwości korzystania z powyższych środków identyfikacji elektronicznej oraz podpisów elektronicznych, proponuje się wprowadzenie przepisów, które pozwolą na wydanie takim osobom tymczasowego środka identyfikacji elektronicznej, jakim będzie „tymczasowy profil zaufany”. Przedmiotowy środek identyfikacji elektronicznej będzie mógł być wydany w usłudze online, która będzie mogła być zrealizowana bez konieczności osobistego stawiennictwa w urzędzie, a więc bez konieczności opuszczania miejsca zamieszkania.</w:t>
      </w:r>
    </w:p>
    <w:p w:rsidR="00B00620"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ustawy o kinematografii:</w:t>
      </w:r>
    </w:p>
    <w:p w:rsidR="00B00620"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hAnsi="Times New Roman"/>
          <w:sz w:val="24"/>
          <w:szCs w:val="24"/>
          <w:shd w:val="clear" w:color="auto" w:fill="FFFFFF"/>
        </w:rPr>
        <w:lastRenderedPageBreak/>
        <w:t xml:space="preserve">Ze względu na ogłoszenie </w:t>
      </w:r>
      <w:r w:rsidRPr="004532E9">
        <w:rPr>
          <w:rFonts w:ascii="Times New Roman" w:eastAsia="Times New Roman" w:hAnsi="Times New Roman"/>
          <w:sz w:val="24"/>
          <w:szCs w:val="24"/>
          <w:lang w:eastAsia="pl-PL"/>
        </w:rPr>
        <w:t>stanu zagrożenia epidemicznego lub stanu epidemi</w:t>
      </w:r>
      <w:r>
        <w:rPr>
          <w:rFonts w:ascii="Times New Roman" w:eastAsia="Times New Roman" w:hAnsi="Times New Roman"/>
          <w:sz w:val="24"/>
          <w:szCs w:val="24"/>
          <w:lang w:eastAsia="pl-PL"/>
        </w:rPr>
        <w:t>i nie jest możliwe wyświetlanie</w:t>
      </w:r>
      <w:r w:rsidRPr="004532E9">
        <w:rPr>
          <w:rFonts w:ascii="Times New Roman" w:eastAsia="Times New Roman" w:hAnsi="Times New Roman"/>
          <w:sz w:val="24"/>
          <w:szCs w:val="24"/>
          <w:lang w:eastAsia="pl-PL"/>
        </w:rPr>
        <w:t xml:space="preserve"> filmów w kinach. W związku z</w:t>
      </w:r>
      <w:r>
        <w:rPr>
          <w:rFonts w:ascii="Times New Roman" w:eastAsia="Times New Roman" w:hAnsi="Times New Roman"/>
          <w:sz w:val="24"/>
          <w:szCs w:val="24"/>
          <w:lang w:eastAsia="pl-PL"/>
        </w:rPr>
        <w:t xml:space="preserve"> powyższym zaproponowano zmianę - nowe brzmienie przepisu </w:t>
      </w:r>
      <w:r w:rsidRPr="004532E9">
        <w:rPr>
          <w:rFonts w:ascii="Times New Roman" w:eastAsia="Times New Roman" w:hAnsi="Times New Roman"/>
          <w:sz w:val="24"/>
          <w:szCs w:val="24"/>
          <w:lang w:eastAsia="pl-PL"/>
        </w:rPr>
        <w:t>art. 4 ust. 1</w:t>
      </w:r>
      <w:r>
        <w:rPr>
          <w:rFonts w:ascii="Times New Roman" w:eastAsia="Times New Roman" w:hAnsi="Times New Roman"/>
          <w:sz w:val="24"/>
          <w:szCs w:val="24"/>
          <w:lang w:eastAsia="pl-PL"/>
        </w:rPr>
        <w:t>, pozwalające</w:t>
      </w:r>
      <w:r w:rsidRPr="004532E9">
        <w:rPr>
          <w:rFonts w:ascii="Times New Roman" w:eastAsia="Times New Roman" w:hAnsi="Times New Roman"/>
          <w:sz w:val="24"/>
          <w:szCs w:val="24"/>
          <w:lang w:eastAsia="pl-PL"/>
        </w:rPr>
        <w:t xml:space="preserve"> uznać za film również utwór, który z uzasadnionych przyczyn nie miał premiery kinowej. </w:t>
      </w:r>
      <w:r>
        <w:rPr>
          <w:rFonts w:ascii="Times New Roman" w:eastAsia="Times New Roman" w:hAnsi="Times New Roman"/>
          <w:sz w:val="24"/>
          <w:szCs w:val="24"/>
          <w:lang w:eastAsia="pl-PL"/>
        </w:rPr>
        <w:t>M</w:t>
      </w:r>
      <w:r w:rsidRPr="004532E9">
        <w:rPr>
          <w:rFonts w:ascii="Times New Roman" w:eastAsia="Times New Roman" w:hAnsi="Times New Roman"/>
          <w:sz w:val="24"/>
          <w:szCs w:val="24"/>
          <w:lang w:eastAsia="pl-PL"/>
        </w:rPr>
        <w:t xml:space="preserve">a </w:t>
      </w:r>
      <w:r>
        <w:rPr>
          <w:rFonts w:ascii="Times New Roman" w:eastAsia="Times New Roman" w:hAnsi="Times New Roman"/>
          <w:sz w:val="24"/>
          <w:szCs w:val="24"/>
          <w:lang w:eastAsia="pl-PL"/>
        </w:rPr>
        <w:t xml:space="preserve">to </w:t>
      </w:r>
      <w:r w:rsidRPr="004532E9">
        <w:rPr>
          <w:rFonts w:ascii="Times New Roman" w:eastAsia="Times New Roman" w:hAnsi="Times New Roman"/>
          <w:sz w:val="24"/>
          <w:szCs w:val="24"/>
          <w:lang w:eastAsia="pl-PL"/>
        </w:rPr>
        <w:t>istotne znaczne związane z</w:t>
      </w:r>
      <w:r>
        <w:rPr>
          <w:rFonts w:ascii="Times New Roman" w:eastAsia="Times New Roman" w:hAnsi="Times New Roman"/>
          <w:sz w:val="24"/>
          <w:szCs w:val="24"/>
          <w:lang w:eastAsia="pl-PL"/>
        </w:rPr>
        <w:t> </w:t>
      </w:r>
      <w:r w:rsidRPr="004532E9">
        <w:rPr>
          <w:rFonts w:ascii="Times New Roman" w:eastAsia="Times New Roman" w:hAnsi="Times New Roman"/>
          <w:sz w:val="24"/>
          <w:szCs w:val="24"/>
          <w:lang w:eastAsia="pl-PL"/>
        </w:rPr>
        <w:t>możliwością rozliczenia dotacji.</w:t>
      </w:r>
    </w:p>
    <w:p w:rsidR="00B00620" w:rsidRPr="004532E9"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Dodatkowo zmodyfikowano obowiązek przekazywania przez kina Polskiemu Instytutowi Sztuki Filmowej danych o liczbie widzów, liczbie sprzedanych biletów i zaakceptowanych znakach legitymacyjnych oraz przychodach z tytułu sprzedaży biletów w odniesieniu do każdego filmu wyświetlanego w danym kinie, a także danych o przychodach z tytułu wyświetlania filmów i reklam w kinie. Przepis ten zmniejsza obowiązki informacyjne na przykład w sytuacji konieczności oddelegowania pracowników do pracy zdalnej z powodu wprowadzenia stanu zagrożenia epidemicznego lub stanu epidemii.</w:t>
      </w:r>
    </w:p>
    <w:p w:rsidR="00B00620" w:rsidRPr="004532E9"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Zmiany przewidziane w projektowanym art. 19 ust. 3a zawieszają obowiązek raportowania danych dotyczących:</w:t>
      </w:r>
    </w:p>
    <w:p w:rsidR="00B00620" w:rsidRPr="004532E9" w:rsidRDefault="00B00620" w:rsidP="00B00620">
      <w:pPr>
        <w:pStyle w:val="Akapitzlist"/>
        <w:numPr>
          <w:ilvl w:val="0"/>
          <w:numId w:val="14"/>
        </w:num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dziennych danych o liczbie widzów, liczbie sprzedanych biletów i zaakceptowanych znakach legitymacyjnych oraz przychodach z tytułu sprzedaży biletów w odniesieniu do każdego f</w:t>
      </w:r>
      <w:r>
        <w:rPr>
          <w:rFonts w:ascii="Times New Roman" w:eastAsia="Times New Roman" w:hAnsi="Times New Roman"/>
          <w:sz w:val="24"/>
          <w:szCs w:val="24"/>
          <w:lang w:eastAsia="pl-PL"/>
        </w:rPr>
        <w:t>ilmu wyświetlanego w danym dniu,</w:t>
      </w:r>
    </w:p>
    <w:p w:rsidR="00B00620" w:rsidRPr="004532E9" w:rsidRDefault="00B00620" w:rsidP="00B00620">
      <w:pPr>
        <w:pStyle w:val="Akapitzlist"/>
        <w:numPr>
          <w:ilvl w:val="0"/>
          <w:numId w:val="14"/>
        </w:num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miesięcznych danych o przychodach z tytułu wyświetlania filmów i reklam w kinie.</w:t>
      </w:r>
    </w:p>
    <w:p w:rsidR="00B00620" w:rsidRPr="004532E9" w:rsidRDefault="00B00620" w:rsidP="00B00620">
      <w:pPr>
        <w:tabs>
          <w:tab w:val="right" w:pos="709"/>
        </w:tabs>
        <w:spacing w:line="360" w:lineRule="auto"/>
        <w:jc w:val="both"/>
        <w:rPr>
          <w:rFonts w:ascii="Times New Roman" w:eastAsia="Times New Roman" w:hAnsi="Times New Roman"/>
          <w:sz w:val="24"/>
          <w:szCs w:val="24"/>
          <w:lang w:eastAsia="pl-PL"/>
        </w:rPr>
      </w:pPr>
      <w:r w:rsidRPr="004532E9">
        <w:rPr>
          <w:rFonts w:ascii="Times New Roman" w:eastAsia="Times New Roman" w:hAnsi="Times New Roman"/>
          <w:sz w:val="24"/>
          <w:szCs w:val="24"/>
          <w:lang w:eastAsia="pl-PL"/>
        </w:rPr>
        <w:t>Przepis określa również zasady przywrócenia obowiązku raportowania</w:t>
      </w:r>
      <w:r>
        <w:rPr>
          <w:rFonts w:ascii="Times New Roman" w:eastAsia="Times New Roman" w:hAnsi="Times New Roman"/>
          <w:sz w:val="24"/>
          <w:szCs w:val="24"/>
          <w:lang w:eastAsia="pl-PL"/>
        </w:rPr>
        <w:t>.</w:t>
      </w:r>
    </w:p>
    <w:p w:rsidR="00B00620" w:rsidRPr="006242E5" w:rsidRDefault="00B0062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Pr>
          <w:rFonts w:ascii="Times New Roman" w:hAnsi="Times New Roman"/>
          <w:b/>
          <w:lang w:eastAsia="pl-PL"/>
        </w:rPr>
        <w:t xml:space="preserve">Zmiana w ustawie </w:t>
      </w:r>
      <w:r w:rsidRPr="006242E5">
        <w:rPr>
          <w:rFonts w:ascii="Times New Roman" w:hAnsi="Times New Roman"/>
          <w:b/>
          <w:lang w:eastAsia="pl-PL"/>
        </w:rPr>
        <w:t>o Agencji Restrukturyzacji i Modernizacji Rolnictwa</w:t>
      </w:r>
      <w:r>
        <w:rPr>
          <w:rFonts w:ascii="Times New Roman" w:hAnsi="Times New Roman"/>
          <w:b/>
          <w:lang w:eastAsia="pl-PL"/>
        </w:rPr>
        <w:t>:</w:t>
      </w:r>
    </w:p>
    <w:p w:rsidR="00B00620" w:rsidRDefault="00B00620" w:rsidP="00B00620">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Nowa regulacja</w:t>
      </w:r>
      <w:r w:rsidRPr="006242E5">
        <w:rPr>
          <w:rFonts w:ascii="Times New Roman" w:hAnsi="Times New Roman"/>
          <w:lang w:eastAsia="pl-PL"/>
        </w:rPr>
        <w:t xml:space="preserve"> ma na celu umożliwienie dokonywania zmian planu finansowego Agencji Restrukturyzacji i Modernizacji Rolnictwa w sposób pozwalający na szybkie reagowanie na sytuacje wymagające podjęcia działań mających na celu przeciwdziałanie skutkom COVID-19 w zakresie rolnictwa, rozwoju wsi, rynków rolnych i przetwórstwa produktów rolnych lub w obszarze Wspólnej Polityki Rolnej lub w zakresie objętym działem administracji rządowej – rybołówstwo.</w:t>
      </w:r>
    </w:p>
    <w:p w:rsidR="00FC72CF" w:rsidRPr="00691C98" w:rsidRDefault="00FC72C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Zmiana ustawy o niektórych formach wspierania działalności innowacyjnej:</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Zmiany zaproponowane do ustawy o niektórych formach wspierania działalności innowacyjnej mają na celu wprowadzenie wielu znaczących ułatwień dla przedsiębiorców inwestujących w nowe technologie, w tym takich rozszerzających zakres ww. inwestycji. Ma to szczególne znaczenie w momencie spowolnienia gospodarczego, trudnej i zmieniającej się sytuacji na rynku polskim i światowym związanej m.in. z rozprzestrzenieniem się wirusa SARS-CoV-2. W ocenie </w:t>
      </w:r>
      <w:r w:rsidRPr="00691C98">
        <w:rPr>
          <w:rFonts w:ascii="Times New Roman" w:hAnsi="Times New Roman"/>
          <w:lang w:eastAsia="pl-PL"/>
        </w:rPr>
        <w:lastRenderedPageBreak/>
        <w:t xml:space="preserve">projektodawców, wspomniane ułatwienia pozytywnie wpłyną na sytuację i możliwości polskich przedsiębiorców, a w konsekwencji będą w swoisty sposób „przeciwdziałać” negatywnym gospodarczym konsekwencjom pandemii.    </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Dynamiczne przemiany technologiczne, w tym transformacja w kierunku przemysłu 4.0, gospodarki o obiegu zamkniętym, czy też gospodarki niskoemisyjnej powodują konieczność elastycznego reagowania przez polskie przedsiębiorstwa na pojawiające się wyzwania, w tym digitalizację oraz robotyzację działalności. Żeby utrzymać wysoki poziom konkurencyjności na rynku, firmy muszą rozszerzać swoją działalność, wchodząc w nowe obszary oraz poszukując nowych przewag, w tym w oparciu o działalność innowacyjną. Początkowo są to działania na mniejszą skalę, które w efekcie mogą doprowadzić do osiągnięcia odpowiedniej masy krytycznej do opracowywania innowacji o wpływie na daną branżę, czy też całą gospodarkę. W związku z powyższym, proponowane zmiany polegają na uelastycznieniu finansowania projektów związanych z wdrażaniem nowych technologii w formie nowych produktów i usług, za pomocą kredytu technologicznego, poprzez zniesienie wymogu uznania produktów i usług za innowacyjne na terytorium RP. Tym samym wpłynie to na zwiększenie podaży projektów rozwijających asortyment firm na bazie nowych technologii, które na podstawie tych doświadczeń mogłyby kontynuować opracowywanie oraz wdrażanie nowych rozwiązań na większą skalę, w tym skalę kraju (zmiany art. 2 ust.1 pkt 4). Dotychczasowa definicja inwestycji technologicznej mogła powodować wątpliwości interpretacyjne co do zakresu wydatków kwalifikowanych, ograniczając je jedynie do wydatków związanych z momentem samego uruchomienia produkcji. Tymczasem wiele wydatków związanych z faktycznym uruchomieniem i prowadzeniem produkcji ponoszonych przez przedsiębiorców mogło pozostać niekwalifikowane. Należą do nich na przykład wydatki związane z: zakupem systemów optymalizujących procesy produkcyjne w firmie, które są niezbędne m.in. do prowadzenia produkcji seryjnej w sposób efektywny; zakupem środków trwałych wykorzystywanych w prowadzeniu nowej produkcji, a wpływających m.in. na ograniczanie zanieczyszczenia środowiska (w tym panele fotowoltaiczne do zasilania linii produkcyjnych); budową powierzchni magazynowych związanych bezpośrednio z nową produkcją itp. W konsekwencji powyższych zmian ustawa zmienia również analogicznie definicję nowej technologii (art. 2 ust. 1 pkt 9).</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Dotychczasowe ustalenie maksymalnej kwoty dofinansowania w sposób sztuczny ograniczało możliwości realizacji najbardziej innowacyjnych projektów, wymagających często znaczących nakładów finansowych. Powodowało to też konieczność sztucznego niekwalifikowania przez wnioskodawców części wydatków kwalifikowanych (z uwagi na brak możliwości uzyskania na nie dofinansowania przekraczającego próg 6 mln zł). Zmiana obejmuje zniesienie limitu premii technologicznej w celu ograniczenia stopniowego spadku atrakcyjności kwoty dofinansowania spowodowanej rokrocznym wzrostem kosztów realizacji projektów, w tym wzrostem cen materiałów, urządzeń, usług oraz kosztów działalności przedsiębiorstw (uchylenie art. 10 ust. 1 pkt 1).</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lastRenderedPageBreak/>
        <w:t>Uchylenie ust. 2 i 3 w art. 11 jest zasadne z uwagi na fakt, że zapisy te były niezbędne, gdy funkcjonował fundusz celowy - Fundusz Kredytu Technologicznego (FKT), dla którego corocznie obowiązywał plan finansowy z określonymi limitami środków na wypłaty premii technologicznych. Dysponentem FKT był minister ds. gospodarki. Od 1 stycznia 2018 r. FKT został zniesiony, wobec tego ust. 2 i 3 stały się martwymi przepisami (poddziałanie 3.2.2 jest wdrażane bez pośrednictwa funduszu celowego). Limit wypłacanych premii technologicznych nie jest już roczny, ale długookresowy określony alokacją przewidzianą dla poddziałania w ramach PO IR. Jednocześnie wypłaty premii na rzecz beneficjentów odbywają się ze środków budżetu europejskiego na podstawie upoważnienia do realizacji zleceń płatności, udzielanego BGK przez dysponenta części budżetowej na podstawie art. 188 ust. 2 ustawy o finansach publicznych. Identyczny system płatności, określony w ustawie o finansach publicznych, obowiązuje w każdej innej instytucji pośredniczącej lub wdrażającej (np. PARP, NCBR); jedynie ustawa o niektórych formach wspierania działalności innowacyjnej przewiduje w tym zakresie osobne rozwiązania. Jednocześnie, na podstawie art. 11 ust. 2, minister właściwy do spraw gospodarki zapewnia jedynie obsługę finansową poddziałania 3.2.2 PO IR, nie mając dostatecznego wpływu na jego realizację, tj. prowadzi jedynie sprawy związane z zapewnieniem BGK niezbędnych środków budżetowych na realizację poddziałania 3.2.2 POIR.</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 xml:space="preserve">W celu poprawy sposobu określania wkładu własnego zaproponowano zmianę art. 2 ust 1 pkt 14 ustawy. Art. 14 ust. 14 rozporządzenia w sprawie wyłączeń blokowych (GBER) stanowi, iż „Beneficjent pomocy musi wnieść wkład finansowy w wysokości co najmniej 25 % kosztów kwalifikowalnych, pochodzący ze środków własnych lub zewnętrznych źródeł finansowania, w postaci wolnej od wszelkiego publicznego wsparcia finansowego”. Dofinansowanie w ramach poddziałania 3.2.2 POIR przeznaczone jest na częściową spłatę tzw. kredytu technologicznego udzielanego przez bank komercyjny. Zgodnie z art. 3 ust. 6 i 7, kredyt ten udzielany jest na warunkach rynkowych. Ponadto jako konsekwencja powiązania art. 2 ust. 1 pkt 2 z art. 10 ust. 5 i 6, z kredytu technologicznego mogą być finansowane jedynie wydatki kwalifikowane. Kredyt technologiczny udzielany przez komercyjny bank kredytujący nie stanowi zatem środków publicznych. Jest on również częściowo spłacany ze środków własnych Beneficjenta. Kwota spłaty ze środków własnych beneficjenta stanowi dopełnienie do wypłacanego dofinansowania, którego poziom w ramach 3.2.2 POIR wynika z: Mapy pomocy regionalnej – jako konsekwencja art. 14 GBER (w przypadku wydatków wynikających z art. 10 ust. 5 ustawy ONF) oraz art. 18 GBER (w przypadku wydatków wynikających z art. 10 ust. 5 ustawy ONF). W każdym z tych przypadków dofinansowanie nie może przekroczyć 70% wydatków kwalifikowanych, a więc spłata kredytu ze środków własnych przedsiębiorcy stanowi nie mniej niż 30% wydatków kwalifikowanych. W efekcie, przedsiębiorca realizujący projekt w ramach poddziałania 3.2.2 POIR wnosi wkład finansowy w wysokości nie mniejszej niż 30% wydatków kwalifikowanych już w wyniku samej spłaty kredytu technologicznego z własnych środków, ponad kwotę spłaty wynikającą z wypłacanego dofinansowania (tj. premii </w:t>
      </w:r>
      <w:r w:rsidRPr="00691C98">
        <w:rPr>
          <w:rFonts w:ascii="Times New Roman" w:hAnsi="Times New Roman"/>
          <w:lang w:eastAsia="pl-PL"/>
        </w:rPr>
        <w:lastRenderedPageBreak/>
        <w:t>technologicznej). Aktualne brzmienie art. 2 ust 1 pkt 14 ustawy ONF w sposób sztuczny nie uznaje tych środków własnych beneficjenta przeznaczonych na częściową spłatę kredytu technologicznego za jego środki własne. Przepis ten narzuca bowiem, iż beneficjent poza wniesieniem środków własnych na spłatę co najmniej 30% kredytu komercyjnego przeznaczonego na wydatki kwalifikowane, musi dodatkowo wnieść 25% środków własnych, niezależnie od tego kredytu.</w:t>
      </w:r>
    </w:p>
    <w:p w:rsidR="00FC72CF" w:rsidRPr="00691C98"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Projekt rozszerza (art. 3 ust. 2 oraz art. 10 ust. 4a, 5, 6, 6a) katalog wydatków kwalifikowanych o elementy wynikające z uwag wnioskodawców oraz doświadczenia z paneli ekspertów – w tym o koszty transportu oraz o koszty realizacji inwestycji technologicznej a nie samego wdrożenia oraz o koszty związane z uzyskiwaniem, walidacją i obroną patentów i innych wartości niematerialnych i prawnych, związanych z inwestycją technologiczną.</w:t>
      </w:r>
    </w:p>
    <w:p w:rsidR="00FC72CF" w:rsidRDefault="00FC72CF" w:rsidP="00FC72CF">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Zmiana art.8 ust.1 ma charakter techniczny - pozwoli przedsiębiorcy, który dostał dofinansowanie na zaciąganie kredytu technologicznego nie tylko w banku kredytującym, który wydał wcześniej taką promesę, ale również w innym banku kredytującym współpracującym z BGK przy wdrażaniu poddziałania „Kredyt na innowacje technologiczne”.</w:t>
      </w:r>
    </w:p>
    <w:p w:rsidR="00460BA4" w:rsidRDefault="00460BA4"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Zmiana ustawy</w:t>
      </w:r>
      <w:r w:rsidRPr="00476C15">
        <w:rPr>
          <w:rFonts w:ascii="Times New Roman" w:hAnsi="Times New Roman"/>
          <w:b/>
          <w:lang w:eastAsia="pl-PL"/>
        </w:rPr>
        <w:t xml:space="preserve"> o zapobieganiu oraz zwalczaniu zakażeń i chorób zakaźnych u ludzi</w:t>
      </w:r>
      <w:r>
        <w:rPr>
          <w:rFonts w:ascii="Times New Roman" w:hAnsi="Times New Roman"/>
          <w:b/>
          <w:lang w:eastAsia="pl-PL"/>
        </w:rPr>
        <w:t>:</w:t>
      </w:r>
    </w:p>
    <w:p w:rsidR="00460BA4" w:rsidRPr="007442C7" w:rsidRDefault="00460BA4" w:rsidP="00460BA4">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W</w:t>
      </w:r>
      <w:r w:rsidRPr="007442C7">
        <w:rPr>
          <w:rFonts w:ascii="Times New Roman" w:hAnsi="Times New Roman"/>
          <w:lang w:eastAsia="pl-PL"/>
        </w:rPr>
        <w:t xml:space="preserve"> ustawie o zapobieganiu oraz zwalczaniu zakażeń i chorób zakaźnych u ludzi </w:t>
      </w:r>
      <w:r>
        <w:rPr>
          <w:rFonts w:ascii="Times New Roman" w:hAnsi="Times New Roman"/>
          <w:lang w:eastAsia="pl-PL"/>
        </w:rPr>
        <w:t>proponuje się wyłączenie</w:t>
      </w:r>
      <w:r w:rsidRPr="007442C7">
        <w:rPr>
          <w:rFonts w:ascii="Times New Roman" w:hAnsi="Times New Roman"/>
          <w:lang w:eastAsia="pl-PL"/>
        </w:rPr>
        <w:t xml:space="preserve"> stosowania przepisów o zamówieniach publicznych do zamówień na usług, dostawy lub roboty budowlane udzielane w związku z zapobieganiem lub zwalczaniem epidemii na obszarze, na którym ogłoszono stan zagrożenia epidemicznego lub stan epidemii. Dostrzegając zasadność sprawnego udzielania zamówień w przypadku wprowadzanego stanu zagrożenia epidemicznego lub stanu epidemii, w celu uniknięcia wątpliwości co do stosowania tej regulacji, proponuje się wprowadzenie tym przepisem minimalnych zasad udzielania zamówień publicznych, wynikających z traktatu o funkcjonowaniu Unii Europejskiej.</w:t>
      </w:r>
    </w:p>
    <w:p w:rsidR="00DC0447" w:rsidRPr="00691C98" w:rsidRDefault="00DC0447"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Zmiany w zakresie ustawy o finansach publicznych:</w:t>
      </w:r>
    </w:p>
    <w:p w:rsidR="00DC0447" w:rsidRDefault="00DC0447" w:rsidP="00DC0447">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Proponowany przepis umożliwi finansowanie zadań wynikających z uruchomienia przez Prezesa Rady Ministrów programu mobilizacji gospodarki, w tym tych związanych z zapobieganiem, przeciwdziałaniem i zwalczaniem chorób zakaźnych, zarówno w trybie selektywnym bądź pełnym, bez względu na obowiązujący stan gotowości obronnej państwa, albowiem art. 180 ustawy o finansach publicznych zezwala na przeniesienia planowanych wydatków budżetowych między częściami i działami budżetu państwa tylko w przypadku stanów nadzwyczajnych, tj. według art. 228-232 Konstytucji</w:t>
      </w:r>
      <w:r>
        <w:rPr>
          <w:rFonts w:ascii="Times New Roman" w:hAnsi="Times New Roman"/>
          <w:lang w:eastAsia="pl-PL"/>
        </w:rPr>
        <w:t xml:space="preserve"> RP</w:t>
      </w:r>
      <w:r w:rsidRPr="00691C98">
        <w:rPr>
          <w:rFonts w:ascii="Times New Roman" w:hAnsi="Times New Roman"/>
          <w:lang w:eastAsia="pl-PL"/>
        </w:rPr>
        <w:t>: stanu wojennego, stanu wyjątkowe</w:t>
      </w:r>
      <w:r>
        <w:rPr>
          <w:rFonts w:ascii="Times New Roman" w:hAnsi="Times New Roman"/>
          <w:lang w:eastAsia="pl-PL"/>
        </w:rPr>
        <w:t>go lub stanu klęski żywiołowej.</w:t>
      </w:r>
    </w:p>
    <w:p w:rsidR="00307EF0" w:rsidRPr="00C60C2D" w:rsidRDefault="00307EF0"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C60C2D">
        <w:rPr>
          <w:rFonts w:ascii="Times New Roman" w:hAnsi="Times New Roman"/>
          <w:b/>
          <w:lang w:eastAsia="pl-PL"/>
        </w:rPr>
        <w:t>Zmiana w ustawie o rezerwach strategicznych:</w:t>
      </w:r>
    </w:p>
    <w:p w:rsidR="00307EF0" w:rsidRDefault="00307EF0" w:rsidP="00307EF0">
      <w:pPr>
        <w:autoSpaceDE w:val="0"/>
        <w:autoSpaceDN w:val="0"/>
        <w:adjustRightInd w:val="0"/>
        <w:spacing w:after="120" w:line="360" w:lineRule="auto"/>
        <w:jc w:val="both"/>
        <w:rPr>
          <w:rFonts w:ascii="Times New Roman" w:hAnsi="Times New Roman"/>
          <w:szCs w:val="26"/>
        </w:rPr>
      </w:pPr>
      <w:r w:rsidRPr="0041309F">
        <w:rPr>
          <w:rFonts w:ascii="Times New Roman" w:hAnsi="Times New Roman"/>
          <w:szCs w:val="26"/>
        </w:rPr>
        <w:lastRenderedPageBreak/>
        <w:t>Wprowadzenie zmiany ma na celu umożliwienie dokonywania zmian planu finansowego A</w:t>
      </w:r>
      <w:r>
        <w:rPr>
          <w:rFonts w:ascii="Times New Roman" w:hAnsi="Times New Roman"/>
          <w:szCs w:val="26"/>
        </w:rPr>
        <w:t xml:space="preserve">gencji </w:t>
      </w:r>
      <w:r w:rsidRPr="0041309F">
        <w:rPr>
          <w:rFonts w:ascii="Times New Roman" w:hAnsi="Times New Roman"/>
          <w:szCs w:val="26"/>
        </w:rPr>
        <w:t>R</w:t>
      </w:r>
      <w:r>
        <w:rPr>
          <w:rFonts w:ascii="Times New Roman" w:hAnsi="Times New Roman"/>
          <w:szCs w:val="26"/>
        </w:rPr>
        <w:t xml:space="preserve">ezerw </w:t>
      </w:r>
      <w:r w:rsidRPr="0041309F">
        <w:rPr>
          <w:rFonts w:ascii="Times New Roman" w:hAnsi="Times New Roman"/>
          <w:szCs w:val="26"/>
        </w:rPr>
        <w:t>M</w:t>
      </w:r>
      <w:r>
        <w:rPr>
          <w:rFonts w:ascii="Times New Roman" w:hAnsi="Times New Roman"/>
          <w:szCs w:val="26"/>
        </w:rPr>
        <w:t>ateriałowych</w:t>
      </w:r>
      <w:r w:rsidRPr="0041309F">
        <w:rPr>
          <w:rFonts w:ascii="Times New Roman" w:hAnsi="Times New Roman"/>
          <w:szCs w:val="26"/>
        </w:rPr>
        <w:t xml:space="preserve"> w sposób pozwalający na szybkie reagowanie na sytuacje wymagające dokonania zakupu rezerw strategicznych. Każda zmiana planu będzie wymagała uzyskaniu zgody ministra sprawującego nadzór nad jednostką i powiadomienia Ministra Finansów. Wyłączony zostanie tryb uzyskania opinii sejmowej komisji właściwej do spraw budżetu.</w:t>
      </w:r>
    </w:p>
    <w:p w:rsidR="00052C3C" w:rsidRPr="00691C98"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opiece nad dziećmi w wieku do lat 3:</w:t>
      </w:r>
    </w:p>
    <w:p w:rsidR="00052C3C" w:rsidRPr="00691C98" w:rsidRDefault="00052C3C" w:rsidP="00052C3C">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Proponuje się, celem ujednolicenia przepisów, wprowadzenie upoważnienia dla ministra właściwego do spraw rodziny do zamykania w określonych przypadkach żłobków i klubów dziecięcych.</w:t>
      </w:r>
    </w:p>
    <w:p w:rsidR="00052C3C" w:rsidRPr="00691C98"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odpadach:</w:t>
      </w:r>
    </w:p>
    <w:p w:rsidR="00052C3C" w:rsidRDefault="00052C3C" w:rsidP="00052C3C">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Regulacja ma na celu odroczenie obowiązków administracyjnych, które w czasach rozprzestrzeniania się COVID-19 mogłyby stanowić dla przedsiębiorców nadmierne obciążenie.</w:t>
      </w:r>
    </w:p>
    <w:p w:rsidR="00052C3C"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Zmiana w ustawie </w:t>
      </w:r>
      <w:r w:rsidRPr="00132A1E">
        <w:rPr>
          <w:rFonts w:ascii="Times New Roman" w:hAnsi="Times New Roman"/>
          <w:b/>
          <w:lang w:eastAsia="pl-PL"/>
        </w:rPr>
        <w:t>o zasadach realizacji programów w zakresie  polityki spójności finansowanych w perspektywie finansowej 2014–2020</w:t>
      </w:r>
      <w:r>
        <w:rPr>
          <w:rFonts w:ascii="Times New Roman" w:hAnsi="Times New Roman"/>
          <w:b/>
          <w:lang w:eastAsia="pl-PL"/>
        </w:rPr>
        <w:t>:</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Działa</w:t>
      </w:r>
      <w:r>
        <w:rPr>
          <w:rFonts w:ascii="Times New Roman" w:hAnsi="Times New Roman"/>
          <w:lang w:eastAsia="pl-PL"/>
        </w:rPr>
        <w:t>lność BGK</w:t>
      </w:r>
      <w:r w:rsidRPr="00132A1E">
        <w:rPr>
          <w:rFonts w:ascii="Times New Roman" w:hAnsi="Times New Roman"/>
          <w:lang w:eastAsia="pl-PL"/>
        </w:rPr>
        <w:t xml:space="preserve"> prowadzona jest w ramach mandatu publicznego powierzonego mu na mocy prawa, w tym ustawy o BGK, Statutu, a także ustawy z dnia 11 lipca 2014 r. o zasadach realizacji programów w zakresie polityki spójności finansowanych w perspektywie finansowe</w:t>
      </w:r>
      <w:r>
        <w:rPr>
          <w:rFonts w:ascii="Times New Roman" w:hAnsi="Times New Roman"/>
          <w:lang w:eastAsia="pl-PL"/>
        </w:rPr>
        <w:t>j 2014–2020. W </w:t>
      </w:r>
      <w:r w:rsidRPr="00132A1E">
        <w:rPr>
          <w:rFonts w:ascii="Times New Roman" w:hAnsi="Times New Roman"/>
          <w:lang w:eastAsia="pl-PL"/>
        </w:rPr>
        <w:t xml:space="preserve">projektowanym  art. 28 a ust. 2 tej ustawy wskazano literalnie na BGK jako podmiot, któremu powierza funkcję wdrażania instrumentu finansowego lub funduszu funduszy. </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Zgodnie z art. 38 ust. 4 lit. b pkt ii) rozporządzenia Parlamentu Europejskiego i Rady (UE) nr 1303/2013z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Pr>
          <w:rFonts w:ascii="Times New Roman" w:hAnsi="Times New Roman"/>
          <w:lang w:eastAsia="pl-PL"/>
        </w:rPr>
        <w:t>ołecznego, Funduszu Spójności i </w:t>
      </w:r>
      <w:r w:rsidRPr="00132A1E">
        <w:rPr>
          <w:rFonts w:ascii="Times New Roman" w:hAnsi="Times New Roman"/>
          <w:lang w:eastAsia="pl-PL"/>
        </w:rPr>
        <w:t>Europejskiego Funduszu Morskiego i Rybackiego oraz uchylające rozporządzenie Rady (WE) nr 1083/2006  „ Przy wspieraniu instrumentów finansowych, o których mowa w ust. 1 lit. b), instytucja zarządzająca może powierzyć zadania wdrożeniowe międzynaro</w:t>
      </w:r>
      <w:r>
        <w:rPr>
          <w:rFonts w:ascii="Times New Roman" w:hAnsi="Times New Roman"/>
          <w:lang w:eastAsia="pl-PL"/>
        </w:rPr>
        <w:t>dowym instytucjom finansowym, w </w:t>
      </w:r>
      <w:r w:rsidRPr="00132A1E">
        <w:rPr>
          <w:rFonts w:ascii="Times New Roman" w:hAnsi="Times New Roman"/>
          <w:lang w:eastAsia="pl-PL"/>
        </w:rPr>
        <w:t>których państwo członkowskie posiada akcje lub udziały, lub inst</w:t>
      </w:r>
      <w:r>
        <w:rPr>
          <w:rFonts w:ascii="Times New Roman" w:hAnsi="Times New Roman"/>
          <w:lang w:eastAsia="pl-PL"/>
        </w:rPr>
        <w:t>ytucjom finansowym z siedzibą w </w:t>
      </w:r>
      <w:r w:rsidRPr="00132A1E">
        <w:rPr>
          <w:rFonts w:ascii="Times New Roman" w:hAnsi="Times New Roman"/>
          <w:lang w:eastAsia="pl-PL"/>
        </w:rPr>
        <w:t>państwie członkowskim, dążącym do osiągnięcia celów interesu publicznego i pozostającym pod nadzorem instytucji publicznej.”</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Bank Gospodarstwa Krajowego jest instytucją finansową, która dąży do osiągniecia celów interesu publicznego i pozostaje pod nadzorem instyt</w:t>
      </w:r>
      <w:r>
        <w:rPr>
          <w:rFonts w:ascii="Times New Roman" w:hAnsi="Times New Roman"/>
          <w:lang w:eastAsia="pl-PL"/>
        </w:rPr>
        <w:t>u</w:t>
      </w:r>
      <w:r w:rsidRPr="00132A1E">
        <w:rPr>
          <w:rFonts w:ascii="Times New Roman" w:hAnsi="Times New Roman"/>
          <w:lang w:eastAsia="pl-PL"/>
        </w:rPr>
        <w:t>cji publicznej</w:t>
      </w:r>
      <w:r>
        <w:rPr>
          <w:rFonts w:ascii="Times New Roman" w:hAnsi="Times New Roman"/>
          <w:lang w:eastAsia="pl-PL"/>
        </w:rPr>
        <w:t>,</w:t>
      </w:r>
      <w:r w:rsidRPr="00132A1E">
        <w:rPr>
          <w:rFonts w:ascii="Times New Roman" w:hAnsi="Times New Roman"/>
          <w:lang w:eastAsia="pl-PL"/>
        </w:rPr>
        <w:t xml:space="preserve"> a propo</w:t>
      </w:r>
      <w:r>
        <w:rPr>
          <w:rFonts w:ascii="Times New Roman" w:hAnsi="Times New Roman"/>
          <w:lang w:eastAsia="pl-PL"/>
        </w:rPr>
        <w:t>nowany art. 28 a koresponduje z treścią art. 38 ust. 4 lit. b pkt ii</w:t>
      </w:r>
      <w:r w:rsidRPr="00132A1E">
        <w:rPr>
          <w:rFonts w:ascii="Times New Roman" w:hAnsi="Times New Roman"/>
          <w:lang w:eastAsia="pl-PL"/>
        </w:rPr>
        <w:t xml:space="preserve"> rozporządzenia Parlamentu Europejskiego i Rady (UE) nr 1303/2013.</w:t>
      </w:r>
    </w:p>
    <w:p w:rsidR="00052C3C" w:rsidRPr="00132A1E"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lastRenderedPageBreak/>
        <w:t>Należy również podkreślić, że od czasu, kiedy środki z funduszy strukturalnych UE wykorzystywane również w ramach instrumentów finansowych, Bank Gospodarstwa Krajowego jest głównym podmiotem odpowiedzialnym za ich wdrażanie zarówno na poziomie krajowym, jak i regionalnym. W</w:t>
      </w:r>
      <w:r>
        <w:rPr>
          <w:rFonts w:ascii="Times New Roman" w:hAnsi="Times New Roman"/>
          <w:lang w:eastAsia="pl-PL"/>
        </w:rPr>
        <w:t> </w:t>
      </w:r>
      <w:r w:rsidRPr="00132A1E">
        <w:rPr>
          <w:rFonts w:ascii="Times New Roman" w:hAnsi="Times New Roman"/>
          <w:lang w:eastAsia="pl-PL"/>
        </w:rPr>
        <w:t>perspektywie finansowej 2014-2020 w ramach krajowych i regionalnych programów operacyjnych Bankowi Gospodarstwa Krajowego powierzono wdrażanie instrumentów finansowych o wartości ponad 12 mld zł, z czego ponad połowa instrumentów dotyczy wsparcia MSP (pozostałe obszary to m.in. innowacyjność, Internet szerokopasmowy, efektywność energetyczna, rynek pracy itp.). Również w okresie 2007-2013 BGK był głównym podmiotem odpowiedzialnym za wdrażanie instrumentów finansowych w programach regionalnych i krajowych. Należy również wskazać, że wśród podmiotów zaangażowanych we wdrażanie instrumentów finansowanych z funduszy strukturalnych, BGK ma zdecydowanie największe doświadczenie, ponieważ jako jedyny z krajowych podmiotów uczestniczy we wdrażaniu wszystkich typów instrumentów (pożyczkowe, gwarancyjne, kapitałowe).</w:t>
      </w:r>
    </w:p>
    <w:p w:rsidR="00052C3C" w:rsidRPr="00052C3C" w:rsidRDefault="00052C3C" w:rsidP="00052C3C">
      <w:pPr>
        <w:suppressAutoHyphens/>
        <w:autoSpaceDE w:val="0"/>
        <w:autoSpaceDN w:val="0"/>
        <w:adjustRightInd w:val="0"/>
        <w:spacing w:after="120" w:line="360" w:lineRule="auto"/>
        <w:jc w:val="both"/>
        <w:rPr>
          <w:rFonts w:ascii="Times New Roman" w:hAnsi="Times New Roman"/>
          <w:lang w:eastAsia="pl-PL"/>
        </w:rPr>
      </w:pPr>
      <w:r w:rsidRPr="00132A1E">
        <w:rPr>
          <w:rFonts w:ascii="Times New Roman" w:hAnsi="Times New Roman"/>
          <w:lang w:eastAsia="pl-PL"/>
        </w:rPr>
        <w:t>Bank Gospodarstwa Krajowego posiada zatem nie tylko odpowiednie umocowanie ustawowe, ale również ogromne doświadczenie we wdrażaniu instrumentów</w:t>
      </w:r>
      <w:r>
        <w:rPr>
          <w:rFonts w:ascii="Times New Roman" w:hAnsi="Times New Roman"/>
          <w:lang w:eastAsia="pl-PL"/>
        </w:rPr>
        <w:t xml:space="preserve"> finansowych, w szczególności o </w:t>
      </w:r>
      <w:r w:rsidRPr="00132A1E">
        <w:rPr>
          <w:rFonts w:ascii="Times New Roman" w:hAnsi="Times New Roman"/>
          <w:lang w:eastAsia="pl-PL"/>
        </w:rPr>
        <w:t>charakterze dłużnym (pożyczki, gwarancje, poręczenia).</w:t>
      </w:r>
    </w:p>
    <w:p w:rsidR="00DB08E5" w:rsidRDefault="00DB08E5"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 xml:space="preserve">Zmiany w ustawie </w:t>
      </w:r>
      <w:r w:rsidRPr="00DB08E5">
        <w:rPr>
          <w:rFonts w:ascii="Times New Roman" w:hAnsi="Times New Roman"/>
          <w:b/>
          <w:lang w:eastAsia="pl-PL"/>
        </w:rPr>
        <w:t>o odnawialnych źródłach energii</w:t>
      </w:r>
      <w:r>
        <w:rPr>
          <w:rFonts w:ascii="Times New Roman" w:hAnsi="Times New Roman"/>
          <w:b/>
          <w:lang w:eastAsia="pl-PL"/>
        </w:rPr>
        <w:t>:</w:t>
      </w:r>
    </w:p>
    <w:p w:rsidR="00DB08E5" w:rsidRDefault="00DB08E5" w:rsidP="00DB08E5">
      <w:pPr>
        <w:suppressAutoHyphens/>
        <w:autoSpaceDE w:val="0"/>
        <w:autoSpaceDN w:val="0"/>
        <w:adjustRightInd w:val="0"/>
        <w:spacing w:after="120" w:line="360" w:lineRule="auto"/>
        <w:jc w:val="both"/>
        <w:rPr>
          <w:rFonts w:ascii="Times New Roman" w:hAnsi="Times New Roman"/>
          <w:lang w:eastAsia="pl-PL"/>
        </w:rPr>
      </w:pPr>
      <w:r w:rsidRPr="00DB08E5">
        <w:rPr>
          <w:rFonts w:ascii="Times New Roman" w:hAnsi="Times New Roman"/>
          <w:lang w:eastAsia="pl-PL"/>
        </w:rPr>
        <w:t>Proponowane zmiany wprowadzają możliwość wydłużenia terminu realizacji zobowiązania uczestnika aukcji do sprzedaży po raz pierwszy energii elektrycznej w ramach systemu aukcyjnego oraz maksymalnego wieku urządzeń wchodzących w skład danej instalacji, na skutek zaistnienia okoliczności niezależnych od Wytwórcy, z uwzględnieniem sytuacji zagrożenia epidemicznego, stanu epidemii albo stanu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w tym spowodowanego zakażeniami wirusem SARS-CoV-2. Analogiczna regulacja została zaproponowana dla Wytwórców korzystających z systemów feed-in tariff (FiT) oraz feed-in premium (FiP), adresowanych do określonych mocowo instalacji OZE, wykorzystujących hydroenergię, biogaz i biogaz rolniczy. Mechanizmy te zapewniają gwarantowaną cenę energii elektrycznej (system FiT) dla mikroinstalacji oraz małych instalacji biogazowych i wodnych (o mocy mniejszej niż 500 kW) lub prawo do uzyskania pokrycia ujemnego salda (system FiP) dla średniej wielkości instalacji biogazowych i wodnych (o mocy nie mniejszej niż 500 kW, ale nie większej niż 1 MW).</w:t>
      </w:r>
    </w:p>
    <w:p w:rsidR="00114566" w:rsidRPr="00114566" w:rsidRDefault="00114566" w:rsidP="00114566">
      <w:pPr>
        <w:suppressAutoHyphens/>
        <w:autoSpaceDE w:val="0"/>
        <w:autoSpaceDN w:val="0"/>
        <w:adjustRightInd w:val="0"/>
        <w:spacing w:after="120" w:line="360" w:lineRule="auto"/>
        <w:jc w:val="both"/>
        <w:rPr>
          <w:rFonts w:ascii="Times New Roman" w:hAnsi="Times New Roman"/>
          <w:lang w:eastAsia="pl-PL"/>
        </w:rPr>
      </w:pPr>
      <w:r w:rsidRPr="00114566">
        <w:rPr>
          <w:rFonts w:ascii="Times New Roman" w:hAnsi="Times New Roman"/>
          <w:lang w:eastAsia="pl-PL"/>
        </w:rPr>
        <w:t xml:space="preserve">Proponowana zmiana jest odpowiedzią na możliwe wystąpienie niedobory towarów lub opóźnienia dostaw komponentów niezbędnych dla realizacji procesów modernizacji lub inwestycyjnych w sektorze energetyki odnawialnej, a będących niezależnymi od Wytwórców. Tym samym wprowadza </w:t>
      </w:r>
      <w:r w:rsidRPr="00114566">
        <w:rPr>
          <w:rFonts w:ascii="Times New Roman" w:hAnsi="Times New Roman"/>
          <w:lang w:eastAsia="pl-PL"/>
        </w:rPr>
        <w:lastRenderedPageBreak/>
        <w:t xml:space="preserve">się możliwości przedłużenia ustawowych terminów realizacji inwestycji przez Prezesa </w:t>
      </w:r>
      <w:r>
        <w:rPr>
          <w:rFonts w:ascii="Times New Roman" w:hAnsi="Times New Roman"/>
          <w:lang w:eastAsia="pl-PL"/>
        </w:rPr>
        <w:t>Urzędu Regulacji Energetyki</w:t>
      </w:r>
      <w:r w:rsidRPr="00114566">
        <w:rPr>
          <w:rFonts w:ascii="Times New Roman" w:hAnsi="Times New Roman"/>
          <w:lang w:eastAsia="pl-PL"/>
        </w:rPr>
        <w:t xml:space="preserve"> na wniosek Wytwórcy, w przypadku wystąpienia okoliczności obiektywnych niezależnych od wytwórcy,  tzw. wystąpienia siły wyższej. </w:t>
      </w:r>
    </w:p>
    <w:p w:rsidR="00114566" w:rsidRPr="00DB08E5" w:rsidRDefault="00114566" w:rsidP="00114566">
      <w:pPr>
        <w:suppressAutoHyphens/>
        <w:autoSpaceDE w:val="0"/>
        <w:autoSpaceDN w:val="0"/>
        <w:adjustRightInd w:val="0"/>
        <w:spacing w:after="120" w:line="360" w:lineRule="auto"/>
        <w:jc w:val="both"/>
        <w:rPr>
          <w:rFonts w:ascii="Times New Roman" w:hAnsi="Times New Roman"/>
          <w:lang w:eastAsia="pl-PL"/>
        </w:rPr>
      </w:pPr>
      <w:r w:rsidRPr="00114566">
        <w:rPr>
          <w:rFonts w:ascii="Times New Roman" w:hAnsi="Times New Roman"/>
          <w:lang w:eastAsia="pl-PL"/>
        </w:rPr>
        <w:t>Przepis przejściowy zapewnia możliwość skorzystania z wydłużenia terminu realizacji zobowiązania uczestnika aukcji do sprzedaży po raz pierwszy energii elektrycznej w ramach systemu aukcyjnego, przez wytwórców, których oferty wygrały aukcję w latach ubiegłych. Analogicznie przepis przejściowy obejmuje małych i średnich Wytwórców korzystających z systemów FiT i FiP. W tym przypadku Wytwórca uzyska przedłużenie terminu nawet jeśli złoży wniosek w terminie krótszym niż 30 dni przed dniem spełnienia zobowiązania, o którym mowa w art. 70b ust. 4 pkt 1 lit. d lub art. 79 ust. 3 pkt 8 ustawy o odnawialnych źródłach energii.</w:t>
      </w:r>
    </w:p>
    <w:p w:rsidR="00052C3C" w:rsidRDefault="00052C3C"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podatku od sprzedaży detalicznej:</w:t>
      </w:r>
    </w:p>
    <w:p w:rsidR="00052C3C" w:rsidRPr="00052C3C" w:rsidRDefault="00052C3C" w:rsidP="00052C3C">
      <w:pPr>
        <w:suppressAutoHyphens/>
        <w:autoSpaceDE w:val="0"/>
        <w:autoSpaceDN w:val="0"/>
        <w:adjustRightInd w:val="0"/>
        <w:spacing w:after="120" w:line="360" w:lineRule="auto"/>
        <w:jc w:val="both"/>
        <w:rPr>
          <w:rFonts w:ascii="Times New Roman" w:hAnsi="Times New Roman"/>
          <w:lang w:eastAsia="pl-PL"/>
        </w:rPr>
      </w:pPr>
      <w:r w:rsidRPr="00052C3C">
        <w:rPr>
          <w:rFonts w:ascii="Times New Roman" w:hAnsi="Times New Roman"/>
          <w:lang w:eastAsia="pl-PL"/>
        </w:rPr>
        <w:t>Kontynuacja zawieszenia działania ustawy o po</w:t>
      </w:r>
      <w:r>
        <w:rPr>
          <w:rFonts w:ascii="Times New Roman" w:hAnsi="Times New Roman"/>
          <w:lang w:eastAsia="pl-PL"/>
        </w:rPr>
        <w:t>datku od sprzedaży detalicznej. Podatnik</w:t>
      </w:r>
      <w:r w:rsidRPr="00052C3C">
        <w:rPr>
          <w:rFonts w:ascii="Times New Roman" w:hAnsi="Times New Roman"/>
          <w:lang w:eastAsia="pl-PL"/>
        </w:rPr>
        <w:t xml:space="preserve"> nie będzie musiał płacić podatku za okresy rozliczeniowe lipiec-grudzień 2020.</w:t>
      </w:r>
    </w:p>
    <w:p w:rsidR="00CE0AE1" w:rsidRDefault="00CE0AE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0A71DD">
        <w:rPr>
          <w:rFonts w:ascii="Times New Roman" w:hAnsi="Times New Roman"/>
          <w:b/>
          <w:lang w:eastAsia="pl-PL"/>
        </w:rPr>
        <w:t xml:space="preserve">Zmiana w ustawie o Krajowym Ośrodku </w:t>
      </w:r>
      <w:r>
        <w:rPr>
          <w:rFonts w:ascii="Times New Roman" w:hAnsi="Times New Roman"/>
          <w:b/>
          <w:lang w:eastAsia="pl-PL"/>
        </w:rPr>
        <w:t>Wsparcia</w:t>
      </w:r>
      <w:r w:rsidRPr="000A71DD">
        <w:rPr>
          <w:rFonts w:ascii="Times New Roman" w:hAnsi="Times New Roman"/>
          <w:b/>
          <w:lang w:eastAsia="pl-PL"/>
        </w:rPr>
        <w:t xml:space="preserve"> Rolnictwa</w:t>
      </w:r>
      <w:r>
        <w:rPr>
          <w:rFonts w:ascii="Times New Roman" w:hAnsi="Times New Roman"/>
          <w:b/>
          <w:lang w:eastAsia="pl-PL"/>
        </w:rPr>
        <w:t>:</w:t>
      </w:r>
    </w:p>
    <w:p w:rsidR="00CE0AE1" w:rsidRPr="00CE0AE1" w:rsidRDefault="00CE0AE1" w:rsidP="00CE0AE1">
      <w:pPr>
        <w:spacing w:after="120" w:line="360" w:lineRule="auto"/>
        <w:jc w:val="both"/>
        <w:rPr>
          <w:rFonts w:ascii="Times New Roman" w:hAnsi="Times New Roman"/>
        </w:rPr>
      </w:pPr>
      <w:r>
        <w:rPr>
          <w:rFonts w:ascii="Times New Roman" w:hAnsi="Times New Roman"/>
        </w:rPr>
        <w:t>Nowa regulacja</w:t>
      </w:r>
      <w:r w:rsidRPr="000A71DD">
        <w:rPr>
          <w:rFonts w:ascii="Times New Roman" w:hAnsi="Times New Roman"/>
        </w:rPr>
        <w:t xml:space="preserve"> ma na celu umożliwienie dokonywania zmian planu finansowego </w:t>
      </w:r>
      <w:r w:rsidRPr="00A52ECD">
        <w:rPr>
          <w:rFonts w:ascii="Times New Roman" w:hAnsi="Times New Roman"/>
          <w:lang w:eastAsia="pl-PL"/>
        </w:rPr>
        <w:t>Krajowego Ośrodka Wsparcia Rolnictwa</w:t>
      </w:r>
      <w:r w:rsidRPr="000A71DD">
        <w:rPr>
          <w:rFonts w:ascii="Times New Roman" w:hAnsi="Times New Roman"/>
        </w:rPr>
        <w:t xml:space="preserve"> w sposób pozwalający na szybkie reagowanie na sytuacje wymagające podjęcia działań mających na celu przeciwdziałanie skutkom COVID-19 w zakresie rolnictwa, rozwoju wsi, rynków rolnych i przetwórstwa produktów rolnych lub w obszarze Wspólnej Polityki Rolnej.</w:t>
      </w:r>
    </w:p>
    <w:p w:rsidR="00CE0AE1" w:rsidRPr="00691C98" w:rsidRDefault="00CE0AE1"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imprezach turystycznych i powiązanych usługach turystycznych:</w:t>
      </w:r>
    </w:p>
    <w:p w:rsidR="00CE0AE1" w:rsidRDefault="00CE0AE1" w:rsidP="00CE0A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W warunkach rozprzestrzeniania się na świecie wirusa SARS-CoV-2 zapewnienie sprawnego funkcjonowania podmiotów gospodarczych na rynku usług turystycznych wymaga przewidzenia mechanizmu równoważącego zakładane straty finansowe. W obecnym stanie prawnym możliwe jest udzielenie Turystycznemu Funduszowi Gwarancyjnemu przez Ubezpieczeniowemu Funduszu Gwarancyjnemu zwrotnego finansowania w przypadku niedoboru środków w Funduszu niezbędnych do jego właściwego funkcjonowania (art. 34 ust. 3 ustawy). Wysokość tego finansowania nie może przekroczyć wysokości 5% wartości lokat funduszu statutowego Ubezpieczeniowego Funduszu Gwarancyjnego w okresie finansowania do jednego roku. W związku z zaistnieniem na rynku usług turystycznych kryzysu wywołanego wybuchem epidemii koronawirusa oraz możliwością zwiększenia się potrzeb Funduszu w zakresie równoważenia skutków niewypłacalności organizatorów turystyki konieczne jest wprowadzenie ekstraordynaryjnego środka umożliwiającego zasilenie Funduszu. Zakres czasowego obowiązywania regulacji ograniczono do czasu obowiązywania ustawy o szczególnych rozwiązaniach związanych z zapobieganiem, przeciwdziałaniem i zwalczaniem COVID-19, innych chorób zakaźnych oraz wywołanych nimi sytuacji kryzysowych.</w:t>
      </w:r>
    </w:p>
    <w:p w:rsidR="00E732A8" w:rsidRDefault="00E732A8"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E732A8">
        <w:rPr>
          <w:rFonts w:ascii="Times New Roman" w:hAnsi="Times New Roman"/>
          <w:b/>
          <w:lang w:eastAsia="pl-PL"/>
        </w:rPr>
        <w:lastRenderedPageBreak/>
        <w:t>Zmiany w ustawie o elektromobilności i paliwach alternatywnych</w:t>
      </w:r>
      <w:r>
        <w:rPr>
          <w:rFonts w:ascii="Times New Roman" w:hAnsi="Times New Roman"/>
          <w:b/>
          <w:lang w:eastAsia="pl-PL"/>
        </w:rPr>
        <w:t>:</w:t>
      </w:r>
    </w:p>
    <w:p w:rsidR="00E732A8" w:rsidRPr="00E732A8" w:rsidRDefault="00E732A8" w:rsidP="00E732A8">
      <w:pPr>
        <w:suppressAutoHyphens/>
        <w:autoSpaceDE w:val="0"/>
        <w:autoSpaceDN w:val="0"/>
        <w:adjustRightInd w:val="0"/>
        <w:spacing w:after="120" w:line="360" w:lineRule="auto"/>
        <w:jc w:val="both"/>
        <w:rPr>
          <w:rFonts w:ascii="Times New Roman" w:hAnsi="Times New Roman"/>
          <w:lang w:eastAsia="pl-PL"/>
        </w:rPr>
      </w:pPr>
      <w:r w:rsidRPr="00E732A8">
        <w:rPr>
          <w:rFonts w:ascii="Times New Roman" w:hAnsi="Times New Roman"/>
          <w:lang w:eastAsia="pl-PL"/>
        </w:rPr>
        <w:t xml:space="preserve">W ustawie o elektromobilności i paliwach alternatywnych przewiduje się zmianę art. 62 ustawy o elektromobilności i paliwach alternatywnych wskazujące obowiązek przygotowania przez władzę aglomeracji i największych miast (ok. 32 miasta) planów budowy ogólnodostępnych stacji ładowania. Jako data opracowania projektu planu przez wskazane miasta został wskazany dzień 15 marca 2020 r. Projekt planu podlega  konsultacjom publicznym, a termin ich przeprowadzenia to 21 dni. Na dzień 17 marca 2020 r. 22 zobowiązane gminy przekazały projekty planów budowy do konsultacji z mieszkańcami gminy. Następnym etapem jest  uzgodnienie projektu planu z operatorami systemów dystrybucyjnych elektroenergetycznych, na obszarze działania których planowane jest rozmieszczenie ogólnodostępnych stacji ładowania – termin uzgodnień 30 dni. Z uwagi na obecną sytuację proponuje się zmianę terminów konsultacji publicznych projektów planów oraz uzgodnień z </w:t>
      </w:r>
      <w:r>
        <w:rPr>
          <w:rFonts w:ascii="Times New Roman" w:hAnsi="Times New Roman"/>
          <w:lang w:eastAsia="pl-PL"/>
        </w:rPr>
        <w:t>operatorem systemu dystrybucyjnego</w:t>
      </w:r>
      <w:r w:rsidRPr="00E732A8">
        <w:rPr>
          <w:rFonts w:ascii="Times New Roman" w:hAnsi="Times New Roman"/>
          <w:lang w:eastAsia="pl-PL"/>
        </w:rPr>
        <w:t xml:space="preserve"> elektroenergetycznymi jak również wprowadzenie stosownych przepisów przejściowych pozwalających na właściwe przeprowadzenie tych procedur.</w:t>
      </w:r>
    </w:p>
    <w:p w:rsidR="00E46BF3" w:rsidRPr="00691C98" w:rsidRDefault="00E46BF3"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zakresie ustawy o przeciwdziałaniu praniu pieniędzy oraz finasowaniu terroryzmu:</w:t>
      </w:r>
    </w:p>
    <w:p w:rsidR="00E46BF3" w:rsidRDefault="00E46BF3" w:rsidP="00CE0AE1">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Przepis art. 195 ustawy o przeciwdziałaniu praniu pieniędzy oraz finansowania terroryzmu ustanawia sześciomiesięczny okres przejściowy dla spółek, obowiązanych do zgłoszenia informacji do Centralnego Rejestru Beneficjenta Rzeczywistego (CRBR) na dopełnienie tego obowiązku. Według obecnie obowiązującej redakcji art. 195 bieg terminu okresu przejściowego zakończy się dnia 13 kwietnia 2020 r. Pomimo faktu, że zgłoszenie informacji do CRBR dokonywane jest przy wykorzystaniu systemu teleinformatycznego, nie można wykluczyć sytuacji, w których ustalenie informacji koniecznych do zgłoszenia wymagać będzie od osób odpowiedzialnych za zgłoszenie przemieszczania się np. w celu uzyskania stosowanych dokumentów lub załatwienia formalności związanych z uzyskaniem podpisu elektronicznego, co w kontekście obecnie panującej sytuacji zagrożenia epidemiologicznego może być niemożliwe lub utrudnione. W związku z powyższym proponuje się przedłużenie ww. okresu przejściowego, o kolejne 3 miesiące, które w ocenie projektodawcy nie będzie miało negatywnego wpływu na funkcjonowanie krajowego sytemu przeciwdziałania prania pieniędzy oraz finansowania terroryzmu.</w:t>
      </w:r>
    </w:p>
    <w:p w:rsidR="00321029" w:rsidRDefault="00321029"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321029">
        <w:rPr>
          <w:rFonts w:ascii="Times New Roman" w:hAnsi="Times New Roman"/>
          <w:b/>
          <w:lang w:eastAsia="pl-PL"/>
        </w:rPr>
        <w:t>Zmiana w ustawie o krajowym systemie cyberbezpieczeństwa</w:t>
      </w:r>
      <w:r>
        <w:rPr>
          <w:rFonts w:ascii="Times New Roman" w:hAnsi="Times New Roman"/>
          <w:b/>
          <w:lang w:eastAsia="pl-PL"/>
        </w:rPr>
        <w:t>:</w:t>
      </w:r>
    </w:p>
    <w:p w:rsidR="00321029" w:rsidRPr="00321029" w:rsidRDefault="00321029" w:rsidP="00321029">
      <w:pPr>
        <w:suppressAutoHyphens/>
        <w:autoSpaceDE w:val="0"/>
        <w:autoSpaceDN w:val="0"/>
        <w:adjustRightInd w:val="0"/>
        <w:spacing w:after="120" w:line="360" w:lineRule="auto"/>
        <w:jc w:val="both"/>
        <w:rPr>
          <w:rFonts w:ascii="Times New Roman" w:hAnsi="Times New Roman"/>
          <w:lang w:eastAsia="pl-PL"/>
        </w:rPr>
      </w:pPr>
      <w:r w:rsidRPr="00321029">
        <w:rPr>
          <w:rFonts w:ascii="Times New Roman" w:hAnsi="Times New Roman"/>
          <w:lang w:eastAsia="pl-PL"/>
        </w:rPr>
        <w:t xml:space="preserve">Zadaniem Pełnomocnika Rządu ds. Cyberbezpieczeństwa jest koordynowanie działań i realizowanie polityki rządu w zakresie zapewnienia cyberbezpieczeństwa w Rzeczypospolitej Polskiej. Pełnomocnik jest powoływany w celu wzmocnienia koordynacji działań i wymiany informacji w warstwie strategiczno-politycznej między instytucjami odpowiedzialnymi za cyberbezpieczeństwo w sferze cywilnej, wojskowej, sektorów usług kluczowych oraz instytucji odpowiedzialnych za zwalczanie cyberprzestępczości. Zgodnie z aktualnie obowiązującym brzmieniem przepisu </w:t>
      </w:r>
      <w:r w:rsidRPr="00321029">
        <w:rPr>
          <w:rFonts w:ascii="Times New Roman" w:hAnsi="Times New Roman"/>
          <w:lang w:eastAsia="pl-PL"/>
        </w:rPr>
        <w:lastRenderedPageBreak/>
        <w:t>Pełnomocnikiem Rządu do spraw Cyberbezpieczeństwa jest sekretarz stanu albo podsekretarz stanu. Proponowane rozwiązanie umożliwi Prezesowi Rady Ministrów powołanie na Pełnomocnika również ministra.</w:t>
      </w:r>
    </w:p>
    <w:p w:rsidR="00321029" w:rsidRPr="00321029" w:rsidRDefault="00321029" w:rsidP="00321029">
      <w:pPr>
        <w:suppressAutoHyphens/>
        <w:autoSpaceDE w:val="0"/>
        <w:autoSpaceDN w:val="0"/>
        <w:adjustRightInd w:val="0"/>
        <w:spacing w:after="120" w:line="360" w:lineRule="auto"/>
        <w:jc w:val="both"/>
        <w:rPr>
          <w:rFonts w:ascii="Times New Roman" w:hAnsi="Times New Roman"/>
          <w:lang w:eastAsia="pl-PL"/>
        </w:rPr>
      </w:pPr>
      <w:r w:rsidRPr="00321029">
        <w:rPr>
          <w:rFonts w:ascii="Times New Roman" w:hAnsi="Times New Roman"/>
          <w:lang w:eastAsia="pl-PL"/>
        </w:rPr>
        <w:t>W sytuacji zagrożenia rozprzestrzenianiem się COVID-19, w związku w szczególności z czasowym odwołaniem zajęć w szkołach i na uczelniach wyższych i zastępowaniem ich nauczaniem zdalnym, czy tez wprowadzaną na szeroką skalę pracą zdalną, a także  zamknięciem wielu obiektów, w tym gastronomicznych i handlowych, poziom wykorzystania technologii informacyjno-komunikacyjnych w sposób znaczący wzrasta. Niestety zjawisku temu towarzyszy również wzrost zagrożeń w cyberprzestrzeni. W tej sytuacji znacznie wzrasta rola Pełnomocnika Rządu ds. Cyberbezpieczeństwa. Aktualnie funkcja Pełnomocnika nie jest obsadzona. W dobie walki z zagrożeniem globalną epidemią powołanie Pełnomocnika Rządu ds. Cyberbezpieczeństwa jest szczególnie ważne. Wprowadzenie możliwości powołania na Pełnomocnika osoby w randze ministra pozwoli Prezesowi Rady Ministrów wskazać na to stanowisko osobę, która dzięki doświadczeniu związanemu z pełnioną funkcją, będzie gwarantem optymalnej realizacji zadań związanych z zapewnieniem bezpieczeństwa w cyberprzestrzeni o charakterze harmonizacyjnym i koordynacyjnym.</w:t>
      </w:r>
    </w:p>
    <w:p w:rsidR="007E1D0F" w:rsidRPr="00691C98" w:rsidRDefault="007E1D0F"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zakresie ustawy o przekształceniu prawa użytkowania wieczystego gruntów zabudowanych na cele mieszkaniowe w prawo własności tych gruntów:</w:t>
      </w:r>
    </w:p>
    <w:p w:rsidR="007E1D0F" w:rsidRDefault="007E1D0F" w:rsidP="00CE0AE1">
      <w:pPr>
        <w:suppressAutoHyphens/>
        <w:autoSpaceDE w:val="0"/>
        <w:autoSpaceDN w:val="0"/>
        <w:adjustRightInd w:val="0"/>
        <w:spacing w:after="120" w:line="360" w:lineRule="auto"/>
        <w:jc w:val="both"/>
        <w:rPr>
          <w:rFonts w:ascii="Times New Roman" w:hAnsi="Times New Roman"/>
          <w:lang w:eastAsia="pl-PL"/>
        </w:rPr>
      </w:pPr>
      <w:r>
        <w:rPr>
          <w:rFonts w:ascii="Times New Roman" w:hAnsi="Times New Roman"/>
          <w:lang w:eastAsia="pl-PL"/>
        </w:rPr>
        <w:t>Zmiana uzupełniająca.</w:t>
      </w:r>
    </w:p>
    <w:p w:rsidR="00D1103B" w:rsidRPr="00DF1DDA" w:rsidRDefault="00D1103B"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Pr>
          <w:rFonts w:ascii="Times New Roman" w:hAnsi="Times New Roman"/>
          <w:b/>
          <w:lang w:eastAsia="pl-PL"/>
        </w:rPr>
        <w:t>Zmiany w ustawie o finansowym wspieraniu produkcji audiowizualnej:</w:t>
      </w:r>
    </w:p>
    <w:p w:rsidR="00D1103B" w:rsidRDefault="00D1103B" w:rsidP="00D1103B">
      <w:pPr>
        <w:tabs>
          <w:tab w:val="right" w:pos="9072"/>
        </w:tabs>
        <w:spacing w:after="120" w:line="360" w:lineRule="auto"/>
        <w:jc w:val="both"/>
        <w:rPr>
          <w:rFonts w:ascii="Times New Roman" w:hAnsi="Times New Roman"/>
        </w:rPr>
      </w:pPr>
      <w:r w:rsidRPr="00DF1DDA">
        <w:rPr>
          <w:rFonts w:ascii="Times New Roman" w:hAnsi="Times New Roman"/>
        </w:rPr>
        <w:t>Zaproponowane zmiany mają na celu uelastycznieni</w:t>
      </w:r>
      <w:r>
        <w:rPr>
          <w:rFonts w:ascii="Times New Roman" w:hAnsi="Times New Roman"/>
        </w:rPr>
        <w:t xml:space="preserve">e terminów składania wniosków o </w:t>
      </w:r>
      <w:r w:rsidRPr="00DF1DDA">
        <w:rPr>
          <w:rFonts w:ascii="Times New Roman" w:hAnsi="Times New Roman"/>
        </w:rPr>
        <w:t>przyznanie wsparcia oraz dokumentów w toku procedury przyzwania wsparcia wynikających z ustawy o finansowym wspieraniu produkcji audiowizualnej</w:t>
      </w:r>
      <w:r>
        <w:rPr>
          <w:rFonts w:ascii="Times New Roman" w:hAnsi="Times New Roman"/>
        </w:rPr>
        <w:t>.</w:t>
      </w:r>
    </w:p>
    <w:p w:rsidR="00D1103B" w:rsidRPr="00DF1DDA" w:rsidRDefault="00D1103B" w:rsidP="00D1103B">
      <w:pPr>
        <w:tabs>
          <w:tab w:val="right" w:pos="9072"/>
        </w:tabs>
        <w:spacing w:after="120" w:line="360" w:lineRule="auto"/>
        <w:jc w:val="both"/>
        <w:rPr>
          <w:rFonts w:ascii="Times New Roman" w:eastAsia="Times New Roman" w:hAnsi="Times New Roman"/>
          <w:lang w:eastAsia="pl-PL"/>
        </w:rPr>
      </w:pPr>
      <w:r w:rsidRPr="00DF1DDA">
        <w:rPr>
          <w:rFonts w:ascii="Times New Roman" w:hAnsi="Times New Roman"/>
        </w:rPr>
        <w:t xml:space="preserve">Zmiany projektowane w art. 18, 20 oraz 22 posłużą zgłaszanym obecnie problemom środowiskowym spowodowanych pandemią </w:t>
      </w:r>
      <w:r w:rsidRPr="00DF1DDA">
        <w:rPr>
          <w:rFonts w:ascii="Times New Roman" w:eastAsia="Times New Roman" w:hAnsi="Times New Roman"/>
          <w:lang w:eastAsia="pl-PL"/>
        </w:rPr>
        <w:t xml:space="preserve">COVID-19, takich jak problemy w pozyskaniu i otrzymaniu stosownych dokumentów ze względu na wprowadzone na całym świecie ograniczenia w przemieszczaniu się ludzi, w tym konieczność pracy poza miejscem siedziby firmy. Zmiany mają na celu maksymalne ułatwienie </w:t>
      </w:r>
      <w:r>
        <w:rPr>
          <w:rFonts w:ascii="Times New Roman" w:eastAsia="Times New Roman" w:hAnsi="Times New Roman"/>
          <w:lang w:eastAsia="pl-PL"/>
        </w:rPr>
        <w:t>uzyskania wsparcia finansowego.</w:t>
      </w:r>
    </w:p>
    <w:p w:rsidR="00D1103B" w:rsidRPr="00423630" w:rsidRDefault="00D1103B" w:rsidP="00D1103B">
      <w:pPr>
        <w:tabs>
          <w:tab w:val="right" w:pos="9072"/>
        </w:tabs>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 xml:space="preserve">1) </w:t>
      </w:r>
      <w:r w:rsidRPr="00DF1DDA">
        <w:rPr>
          <w:rFonts w:ascii="Times New Roman" w:eastAsia="Times New Roman" w:hAnsi="Times New Roman"/>
          <w:lang w:eastAsia="pl-PL"/>
        </w:rPr>
        <w:t>Zmieniany art. 18 ust. 2 wskazuje, że wniosek o przyznanie wsparcia składa się nie wcześniej niż 12 miesięcy przed rozpoczęciem prac, które mają być objęte wsparciem finansowym i nie później niż przed rozpoczęciem prac. Wnioskodawca zobowiązany jest rozpocząć prace objęte wsparciem finansowym w terminie nie później niż 12 miesięcy liczonych od dnia złożenia wnio</w:t>
      </w:r>
      <w:r>
        <w:rPr>
          <w:rFonts w:ascii="Times New Roman" w:eastAsia="Times New Roman" w:hAnsi="Times New Roman"/>
          <w:lang w:eastAsia="pl-PL"/>
        </w:rPr>
        <w:t>sku.</w:t>
      </w:r>
      <w:r w:rsidRPr="00DF1DDA">
        <w:rPr>
          <w:rFonts w:ascii="Times New Roman" w:eastAsia="Times New Roman" w:hAnsi="Times New Roman"/>
          <w:lang w:eastAsia="pl-PL"/>
        </w:rPr>
        <w:t xml:space="preserve"> W obecnym stanie prawnym wnioski te składa się nie wcześniej niż 6 miesięcy i nie później niż 2 miesiące przed rozpoczęciem prac, które mają być objęte wsparciem finansowym.</w:t>
      </w:r>
      <w:r>
        <w:rPr>
          <w:rFonts w:ascii="Times New Roman" w:eastAsia="Times New Roman" w:hAnsi="Times New Roman"/>
          <w:lang w:eastAsia="pl-PL"/>
        </w:rPr>
        <w:t xml:space="preserve"> </w:t>
      </w:r>
      <w:r w:rsidRPr="00DF1DDA">
        <w:rPr>
          <w:rFonts w:ascii="Times New Roman" w:eastAsia="Times New Roman" w:hAnsi="Times New Roman"/>
          <w:lang w:eastAsia="pl-PL"/>
        </w:rPr>
        <w:t xml:space="preserve">Dodawany w art. </w:t>
      </w:r>
      <w:r w:rsidRPr="00DF1DDA">
        <w:rPr>
          <w:rFonts w:ascii="Times New Roman" w:hAnsi="Times New Roman"/>
        </w:rPr>
        <w:t>18 ust. 7</w:t>
      </w:r>
      <w:r>
        <w:rPr>
          <w:rFonts w:ascii="Times New Roman" w:hAnsi="Times New Roman"/>
        </w:rPr>
        <w:t> </w:t>
      </w:r>
      <w:r w:rsidRPr="00DF1DDA">
        <w:rPr>
          <w:rFonts w:ascii="Times New Roman" w:hAnsi="Times New Roman"/>
        </w:rPr>
        <w:t xml:space="preserve">wskazuje, że Dyrektor </w:t>
      </w:r>
      <w:r>
        <w:rPr>
          <w:rFonts w:ascii="Times New Roman" w:hAnsi="Times New Roman"/>
        </w:rPr>
        <w:t xml:space="preserve">Polskiego </w:t>
      </w:r>
      <w:r w:rsidRPr="00DF1DDA">
        <w:rPr>
          <w:rFonts w:ascii="Times New Roman" w:hAnsi="Times New Roman"/>
        </w:rPr>
        <w:t>Instytutu</w:t>
      </w:r>
      <w:r>
        <w:rPr>
          <w:rFonts w:ascii="Times New Roman" w:hAnsi="Times New Roman"/>
        </w:rPr>
        <w:t xml:space="preserve"> Sztuki Filmowej (PISF)</w:t>
      </w:r>
      <w:r w:rsidRPr="00DF1DDA">
        <w:rPr>
          <w:rFonts w:ascii="Times New Roman" w:hAnsi="Times New Roman"/>
        </w:rPr>
        <w:t xml:space="preserve">, w przypadku braku możliwości dołączenia do wniosku dokumentów, o których mowa </w:t>
      </w:r>
      <w:r>
        <w:rPr>
          <w:rFonts w:ascii="Times New Roman" w:hAnsi="Times New Roman"/>
          <w:shd w:val="clear" w:color="auto" w:fill="FFFFFF"/>
        </w:rPr>
        <w:t>w ust. 4 pkt 1, </w:t>
      </w:r>
      <w:r>
        <w:rPr>
          <w:rFonts w:ascii="Times New Roman" w:hAnsi="Times New Roman"/>
        </w:rPr>
        <w:t xml:space="preserve">9 i </w:t>
      </w:r>
      <w:r w:rsidRPr="00DF1DDA">
        <w:rPr>
          <w:rFonts w:ascii="Times New Roman" w:hAnsi="Times New Roman"/>
        </w:rPr>
        <w:t>10, może podjąć decyzję</w:t>
      </w:r>
      <w:r>
        <w:rPr>
          <w:rFonts w:ascii="Times New Roman" w:hAnsi="Times New Roman"/>
        </w:rPr>
        <w:t xml:space="preserve"> </w:t>
      </w:r>
      <w:r>
        <w:rPr>
          <w:rFonts w:ascii="Times New Roman" w:hAnsi="Times New Roman"/>
        </w:rPr>
        <w:lastRenderedPageBreak/>
        <w:t>o przedłożeniu PISF</w:t>
      </w:r>
      <w:r w:rsidRPr="00DF1DDA">
        <w:rPr>
          <w:rFonts w:ascii="Times New Roman" w:hAnsi="Times New Roman"/>
        </w:rPr>
        <w:t xml:space="preserve"> innych dokumentów, które jego zdaniem wystarcz</w:t>
      </w:r>
      <w:r>
        <w:rPr>
          <w:rFonts w:ascii="Times New Roman" w:hAnsi="Times New Roman"/>
        </w:rPr>
        <w:t>ają do dokonania oceny wniosku.</w:t>
      </w:r>
    </w:p>
    <w:p w:rsidR="00D1103B" w:rsidRPr="00DF1DDA" w:rsidRDefault="00D1103B" w:rsidP="00D1103B">
      <w:pPr>
        <w:spacing w:after="120" w:line="360" w:lineRule="auto"/>
        <w:jc w:val="both"/>
        <w:rPr>
          <w:rFonts w:ascii="Times New Roman" w:hAnsi="Times New Roman"/>
        </w:rPr>
      </w:pPr>
      <w:r w:rsidRPr="00DF1DDA">
        <w:rPr>
          <w:rFonts w:ascii="Times New Roman" w:hAnsi="Times New Roman"/>
        </w:rPr>
        <w:t>Zmieniony przepis pozwala posiłkować się innymi środkami dowodowymi w przypadku przedkładania m.in. poświadczenia nabycia praw do fi</w:t>
      </w:r>
      <w:r>
        <w:rPr>
          <w:rFonts w:ascii="Times New Roman" w:hAnsi="Times New Roman"/>
        </w:rPr>
        <w:t>lmu czy też treści scenariusza.</w:t>
      </w:r>
    </w:p>
    <w:p w:rsidR="00D1103B" w:rsidRPr="00DF1DDA" w:rsidRDefault="00D1103B" w:rsidP="00D1103B">
      <w:pPr>
        <w:spacing w:after="120" w:line="360" w:lineRule="auto"/>
        <w:jc w:val="both"/>
        <w:rPr>
          <w:rFonts w:ascii="Times New Roman" w:hAnsi="Times New Roman"/>
        </w:rPr>
      </w:pPr>
      <w:r>
        <w:rPr>
          <w:rFonts w:ascii="Times New Roman" w:hAnsi="Times New Roman"/>
        </w:rPr>
        <w:t xml:space="preserve">2) </w:t>
      </w:r>
      <w:r w:rsidRPr="00DF1DDA">
        <w:rPr>
          <w:rFonts w:ascii="Times New Roman" w:hAnsi="Times New Roman"/>
        </w:rPr>
        <w:t>Zmiany przewidziane w art. 20 ust. 3 wskazują, że w przypadku gdy ocena kosztorysu, o</w:t>
      </w:r>
      <w:r>
        <w:rPr>
          <w:rFonts w:ascii="Times New Roman" w:hAnsi="Times New Roman"/>
        </w:rPr>
        <w:t xml:space="preserve"> </w:t>
      </w:r>
      <w:r w:rsidRPr="00DF1DDA">
        <w:rPr>
          <w:rFonts w:ascii="Times New Roman" w:hAnsi="Times New Roman"/>
        </w:rPr>
        <w:t xml:space="preserve">którym mowa w art. 18 ust. 4 pkt 8, którego treść wskazuje na nieadekwatność pozycji kosztowych względem założeń realizacyjnych oraz scenariusza, </w:t>
      </w:r>
      <w:r>
        <w:rPr>
          <w:rFonts w:ascii="Times New Roman" w:hAnsi="Times New Roman"/>
        </w:rPr>
        <w:t>PISF</w:t>
      </w:r>
      <w:r w:rsidRPr="00DF1DDA">
        <w:rPr>
          <w:rFonts w:ascii="Times New Roman" w:hAnsi="Times New Roman"/>
        </w:rPr>
        <w:t xml:space="preserve"> przedstawia wnioskodawcy uwagi do kosztorysu wraz z</w:t>
      </w:r>
      <w:r>
        <w:rPr>
          <w:rFonts w:ascii="Times New Roman" w:hAnsi="Times New Roman"/>
        </w:rPr>
        <w:t> </w:t>
      </w:r>
      <w:r w:rsidRPr="00DF1DDA">
        <w:rPr>
          <w:rFonts w:ascii="Times New Roman" w:hAnsi="Times New Roman"/>
        </w:rPr>
        <w:t xml:space="preserve">pisemnym uzasadnieniem oraz wzywa wnioskodawcę do przedstawienia zmodyfikowanego kosztorysu w terminie wskazanym w piśmie nie dłuższym niż 60 dni. W obecnym stanie prawnym nie ma możliwości wydłużenia terminu i obejmuje on 14 dni na przekazanie zmodyfikowanego scenariusza po zgłoszeniu przez </w:t>
      </w:r>
      <w:r>
        <w:rPr>
          <w:rFonts w:ascii="Times New Roman" w:hAnsi="Times New Roman"/>
        </w:rPr>
        <w:t>PISF</w:t>
      </w:r>
      <w:r w:rsidRPr="00DF1DDA">
        <w:rPr>
          <w:rFonts w:ascii="Times New Roman" w:hAnsi="Times New Roman"/>
        </w:rPr>
        <w:t xml:space="preserve"> zastrzeżeń. Zmiana projektowana w ust. 5a ma charakter wynikowy i precyzuje ter</w:t>
      </w:r>
      <w:r>
        <w:rPr>
          <w:rFonts w:ascii="Times New Roman" w:hAnsi="Times New Roman"/>
        </w:rPr>
        <w:t>min rozpoczęcia biegu terminów.</w:t>
      </w:r>
    </w:p>
    <w:p w:rsidR="00D1103B" w:rsidRPr="00DF1DDA" w:rsidRDefault="00D1103B" w:rsidP="00D1103B">
      <w:pPr>
        <w:spacing w:after="120" w:line="360" w:lineRule="auto"/>
        <w:jc w:val="both"/>
        <w:rPr>
          <w:rFonts w:ascii="Times New Roman" w:hAnsi="Times New Roman"/>
        </w:rPr>
      </w:pPr>
      <w:r>
        <w:rPr>
          <w:rFonts w:ascii="Times New Roman" w:hAnsi="Times New Roman"/>
        </w:rPr>
        <w:t xml:space="preserve">3) </w:t>
      </w:r>
      <w:r w:rsidRPr="00DF1DDA">
        <w:rPr>
          <w:rFonts w:ascii="Times New Roman" w:hAnsi="Times New Roman"/>
        </w:rPr>
        <w:t>Analogicznie projektowany art. 22 ust. 1 umożliwia wydłużenie terminu zawarcia umowy o wsparcie finansowe z 28 dni na okres nie dłuższy niż 3 miesiące.</w:t>
      </w:r>
    </w:p>
    <w:p w:rsidR="00D1103B" w:rsidRPr="00CE0AE1" w:rsidRDefault="00D1103B" w:rsidP="00D1103B">
      <w:pPr>
        <w:spacing w:after="120" w:line="360" w:lineRule="auto"/>
        <w:jc w:val="both"/>
        <w:rPr>
          <w:rFonts w:ascii="Times New Roman" w:hAnsi="Times New Roman"/>
        </w:rPr>
      </w:pPr>
      <w:r w:rsidRPr="00DF1DDA">
        <w:rPr>
          <w:rFonts w:ascii="Times New Roman" w:hAnsi="Times New Roman"/>
        </w:rPr>
        <w:t>Określenie maksymalnych terminów w ustawie wynika z zasad przyznawania wsparcia w niej określonych. Istotne znaczenie ma kolejność wpływu wniosków, bowiem system zachęt ma charakter automatyczny, a czynności związane z weryfikacją wniosków czysto techniczny.</w:t>
      </w:r>
    </w:p>
    <w:p w:rsidR="0050559B" w:rsidRDefault="0050559B"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Pr>
          <w:rFonts w:ascii="Times New Roman" w:hAnsi="Times New Roman"/>
          <w:b/>
          <w:lang w:eastAsia="pl-PL"/>
        </w:rPr>
        <w:t>Zmiany w ustawie o zmianie ustawy o transporcie drogowym oraz niektórych innych ustaw:</w:t>
      </w:r>
    </w:p>
    <w:p w:rsidR="0050559B" w:rsidRPr="0050559B" w:rsidRDefault="0050559B" w:rsidP="0050559B">
      <w:pPr>
        <w:suppressAutoHyphens/>
        <w:autoSpaceDE w:val="0"/>
        <w:autoSpaceDN w:val="0"/>
        <w:adjustRightInd w:val="0"/>
        <w:spacing w:after="120" w:line="360" w:lineRule="auto"/>
        <w:jc w:val="both"/>
        <w:rPr>
          <w:rFonts w:ascii="Times New Roman" w:hAnsi="Times New Roman"/>
          <w:lang w:eastAsia="pl-PL"/>
        </w:rPr>
      </w:pPr>
      <w:r w:rsidRPr="0050559B">
        <w:rPr>
          <w:rFonts w:ascii="Times New Roman" w:hAnsi="Times New Roman"/>
          <w:lang w:eastAsia="pl-PL"/>
        </w:rPr>
        <w:t>Przewóz osób samochodami osobowymi, w tym także taksówkami, stanowi alternatywę dla komunikacji publicznej. Niewątpliwie w odniesieniu do takich środków transportu ryzyko rozprzestrzenienia się COViD-19 jest dużo niższe aniżeli w środkach transportu publicznego. Zaproponowana zmiana umożliwi przedsiębiorcom prowadzącym działalność w obszarze przewozu osób świadczyć swoje usługi w pełnym wymiarze w oparciu o dotychczasowe zasady. Ponadto należy wskazać, że organem uprawnionym do udzielenia tych licencji jest wójt, burmistrz lub prezydent miasta, w okresie od dnia 10 marca 2020 r. istotnemu ograniczeniu uległo funkcjonowanie organów administracji publicznej w związku z wystąpieniem na terytorium Rzeczypospolitej Polskiej wirusa COViD-19.Tym samym nie jest zasadne oczekiwanie aby jednostki samorządu terytorialnego w sposób tak sprawny jak obecnie wydawały licencje taksówkowe. W szczególności dotyczy to dużych miast. Zainteresowanie nowymi licencjami na przewóz osób taksówką jest duże. Urząd Miasta rejestruje codziennie ok. 100-150 wniosków przedsiębiorców o wydanie ww. licencji.</w:t>
      </w:r>
    </w:p>
    <w:p w:rsidR="0050559B" w:rsidRPr="0050559B" w:rsidRDefault="0050559B" w:rsidP="0050559B">
      <w:pPr>
        <w:suppressAutoHyphens/>
        <w:autoSpaceDE w:val="0"/>
        <w:autoSpaceDN w:val="0"/>
        <w:adjustRightInd w:val="0"/>
        <w:spacing w:after="120" w:line="360" w:lineRule="auto"/>
        <w:jc w:val="both"/>
        <w:rPr>
          <w:rFonts w:ascii="Times New Roman" w:hAnsi="Times New Roman"/>
          <w:lang w:eastAsia="pl-PL"/>
        </w:rPr>
      </w:pPr>
      <w:r w:rsidRPr="0050559B">
        <w:rPr>
          <w:rFonts w:ascii="Times New Roman" w:hAnsi="Times New Roman"/>
          <w:lang w:eastAsia="pl-PL"/>
        </w:rPr>
        <w:t>Jest wiec zasadne przedłużenie obowiązku uzyskania licencji pośrednictwa w przewozie osób na maksymalny okres do 30 września 2020 r., z jednoczesnym lex specialis - zwolnieniem taksówkarzy z obowiązku odbierania zleceń wyłącznie od pośre</w:t>
      </w:r>
      <w:r>
        <w:rPr>
          <w:rFonts w:ascii="Times New Roman" w:hAnsi="Times New Roman"/>
          <w:lang w:eastAsia="pl-PL"/>
        </w:rPr>
        <w:t xml:space="preserve">dników posiadających licencję. </w:t>
      </w:r>
      <w:r w:rsidRPr="0050559B">
        <w:rPr>
          <w:rFonts w:ascii="Times New Roman" w:hAnsi="Times New Roman"/>
          <w:lang w:eastAsia="pl-PL"/>
        </w:rPr>
        <w:t xml:space="preserve">Zgodnie z informacjami umieszczonymi w BIP Głównego Inspektoratu Transportu Drogowego, na dzień 9 </w:t>
      </w:r>
      <w:r w:rsidRPr="0050559B">
        <w:rPr>
          <w:rFonts w:ascii="Times New Roman" w:hAnsi="Times New Roman"/>
          <w:lang w:eastAsia="pl-PL"/>
        </w:rPr>
        <w:lastRenderedPageBreak/>
        <w:t>marca 2020 r. udzielono 29 licencji na wykonywanie transportu drogowego w zakresie pośrednictwa przy przewozie osób.  Aby zachować zasadę sprawiedliwości społecznej należy także w przypadku podmiotów które już uzyskały licencję wprowadzić okres przejściowy umożliwiający tym podmiotom zlecanie przewozów osobom, które nie posiadają licencji taksówkom. W ten sposób zostanie zachowana równość prowadzenia działalności gospodarczej, a także zostaną spełnione cele regulacji jaką jest ograniczenie transportu zbiorowego osób, w szczególności w dużych miastach, co jest szczególnie istotne w najbliższy tygodniach działań przeciwdziałania  rozprzestrzeniania się wirusa COViD-19. W celu zachowania równych obowiązków prowadzenia działalności na terytorium kraju dla wszystkich podmiotów na danym rynku należy także wprowadzić na okres przejściowy przepis zwalniający podmioty prowadzące pośrednictwo przy przewozie osób od prowadzenia ewidencji, o której mowa w art. 27b. Ma to znaczenie związane z zachowaniem równych obowiązków prowadzenia działalności na terytorium kraju dla wszystkich podmiotów na danym rynku.</w:t>
      </w:r>
    </w:p>
    <w:p w:rsidR="007A3AF3" w:rsidRDefault="007A3AF3"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r w:rsidRPr="007A3AF3">
        <w:rPr>
          <w:rFonts w:ascii="Times New Roman" w:hAnsi="Times New Roman"/>
          <w:b/>
          <w:lang w:eastAsia="pl-PL"/>
        </w:rPr>
        <w:t>Zmiany w ustawie Prawo ochrony środowiska:</w:t>
      </w:r>
    </w:p>
    <w:p w:rsidR="007A3AF3" w:rsidRPr="007A3AF3" w:rsidRDefault="007A3AF3" w:rsidP="007A3AF3">
      <w:pPr>
        <w:suppressAutoHyphens/>
        <w:autoSpaceDE w:val="0"/>
        <w:autoSpaceDN w:val="0"/>
        <w:adjustRightInd w:val="0"/>
        <w:spacing w:after="120" w:line="360" w:lineRule="auto"/>
        <w:jc w:val="both"/>
        <w:rPr>
          <w:rFonts w:ascii="Times New Roman" w:hAnsi="Times New Roman"/>
          <w:lang w:eastAsia="pl-PL"/>
        </w:rPr>
      </w:pPr>
      <w:r w:rsidRPr="007A3AF3">
        <w:rPr>
          <w:rFonts w:ascii="Times New Roman" w:hAnsi="Times New Roman"/>
          <w:lang w:eastAsia="pl-PL"/>
        </w:rPr>
        <w:t>Zaproponowane zmiany w ustawie o zmianie ustawy - Prawo o</w:t>
      </w:r>
      <w:r>
        <w:rPr>
          <w:rFonts w:ascii="Times New Roman" w:hAnsi="Times New Roman"/>
          <w:lang w:eastAsia="pl-PL"/>
        </w:rPr>
        <w:t>chrony środowiska oraz ustawy o </w:t>
      </w:r>
      <w:r w:rsidRPr="007A3AF3">
        <w:rPr>
          <w:rFonts w:ascii="Times New Roman" w:hAnsi="Times New Roman"/>
          <w:lang w:eastAsia="pl-PL"/>
        </w:rPr>
        <w:t xml:space="preserve">zarządzaniu mają na celu wydłużenie terminów związanych z opracowywaniem programów ochrony powietrza. Uzasadnieniem przewidzianych ustawą zmian w terminach poszczególnych etapów przygotowania i przyjęcia w drodze uchwały sejmiku województwa programu ochrony powietrza dla strefy, w której stwierdzone zostały przekroczenia poziomów dopuszczalnych, docelowych substancji w powietrzu oraz pułapu stężenia ekspozycji na pył zawieszony PM2,5 w wyniku oceny jakości powietrza za 2018 r., jest brak możliwości przeprowadzenia przez zarządy województw konsultacji społecznych, w tym w ramach spotkań z mieszkańcami gmin objętych programem ochrony powietrza, w związku z ogłoszeniem </w:t>
      </w:r>
      <w:r w:rsidR="0072572E">
        <w:rPr>
          <w:rFonts w:ascii="Times New Roman" w:hAnsi="Times New Roman"/>
          <w:lang w:eastAsia="pl-PL"/>
        </w:rPr>
        <w:t>stanu zagrożenia epidemicznego.</w:t>
      </w:r>
      <w:r w:rsidRPr="007A3AF3">
        <w:rPr>
          <w:rFonts w:ascii="Times New Roman" w:hAnsi="Times New Roman"/>
          <w:lang w:eastAsia="pl-PL"/>
        </w:rPr>
        <w:t xml:space="preserve"> Zauważyć należy, że przeprowadzenie konsultacji  jest to kluczowy etap przygotowania programów ochrony powietrza, ze względu na fakt, że to gmina, powiat oraz mieszkańcy gmin i powiatów są wskazani jako odpowiedzialni za realizację działań naprawczych wskazanych do realizacji, w projektach cytowanych wyżej programów. Z tego powodu też niemożliwe jest zwołanie posiedzeń Sejmików Województw, na posiedzeniu których przyjmowane są projekty uchwał w sprawie programów ochrony powietrza. Ponadto wskazać należy, że w przypadku przyjęcia przez Sejmik Województwa uchwały w sprawie programu ochrony powietrza, który nie zostanie uzgodniony z wybranymi gminami i powiatami, może skutkować skierowaniem przez gminę i powiat skargi do Sądu Administracyjnego zaskarżającej uchwałę w tym zakresie. Dodatkową przesłanką do przesunięcia terminów przygotowania i uchwalenia programów ochrony powietrza jest ryzyko nałożenia, w trybie art. 315a ust. 1 pkt 2 ustawy Prawo ochrony środowiska</w:t>
      </w:r>
      <w:r>
        <w:rPr>
          <w:rFonts w:ascii="Times New Roman" w:hAnsi="Times New Roman"/>
          <w:lang w:eastAsia="pl-PL"/>
        </w:rPr>
        <w:t>,</w:t>
      </w:r>
      <w:r w:rsidRPr="007A3AF3">
        <w:rPr>
          <w:rFonts w:ascii="Times New Roman" w:hAnsi="Times New Roman"/>
          <w:lang w:eastAsia="pl-PL"/>
        </w:rPr>
        <w:t xml:space="preserve"> kar za niedotrzymanie ustawowego terminu uchwalenia programów ochrony powietrza.</w:t>
      </w:r>
    </w:p>
    <w:p w:rsidR="007A3AF3" w:rsidRPr="007A3AF3" w:rsidRDefault="007A3AF3" w:rsidP="007A3AF3">
      <w:pPr>
        <w:suppressAutoHyphens/>
        <w:autoSpaceDE w:val="0"/>
        <w:autoSpaceDN w:val="0"/>
        <w:adjustRightInd w:val="0"/>
        <w:spacing w:after="120" w:line="360" w:lineRule="auto"/>
        <w:jc w:val="both"/>
        <w:rPr>
          <w:rFonts w:ascii="Times New Roman" w:hAnsi="Times New Roman"/>
          <w:lang w:eastAsia="pl-PL"/>
        </w:rPr>
      </w:pPr>
      <w:r w:rsidRPr="007A3AF3">
        <w:rPr>
          <w:rFonts w:ascii="Times New Roman" w:hAnsi="Times New Roman"/>
          <w:lang w:eastAsia="pl-PL"/>
        </w:rPr>
        <w:t xml:space="preserve">Z zebranych informacji wynika, że istnieje potencjalne ryzyko nie dopełnienia terminów sprawozdawczych, o których mowa w ustawie o biokomponentach i biopaliwach ciekłych w związku pojawieniem się zagrożenia epidemiologicznego. W takim przypadku wydaje się zasadne aby </w:t>
      </w:r>
      <w:r w:rsidRPr="007A3AF3">
        <w:rPr>
          <w:rFonts w:ascii="Times New Roman" w:hAnsi="Times New Roman"/>
          <w:lang w:eastAsia="pl-PL"/>
        </w:rPr>
        <w:lastRenderedPageBreak/>
        <w:t>wydłużyć w czasie terminy sprawozdań, oświadczeń oraz raportów wykonywanych na podstawie przepisów przedmiotowej ustawy. Rozwiązanie musi być kompleksowe z uwagi na fakt, iż np. raporty prezesa URE powstają w oparciu o sprawozdania przedsiębiorców – przesuwając jeden termin, należy konsekwentnie przesunąć pozostałe.</w:t>
      </w:r>
    </w:p>
    <w:p w:rsidR="000109A5" w:rsidRPr="00691C98" w:rsidRDefault="000109A5"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zmianie ustawy o podatku od towarów i usług oraz niektórych innych ustaw:</w:t>
      </w:r>
    </w:p>
    <w:p w:rsidR="000109A5" w:rsidRDefault="000109A5" w:rsidP="000109A5">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W związku z rozprzestrzenianiem się zakażeń wirusem SARS CoV-2 zasadne jest odroczenie obowiązku składania nowego pliku JPK_VAT (deklaracja wraz z ewidencją) do 1 lipca 2020 r. dla wszystkich podatników. Podatnicy będą mogli jednak dobrowolnie rozliczyć się w nowej formie za kwiecień 2020 r., czyli złożyć nowy JPK_VAT w maju 2020 r.</w:t>
      </w:r>
    </w:p>
    <w:p w:rsidR="000109A5" w:rsidRPr="00691C98" w:rsidRDefault="000109A5"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 xml:space="preserve">Zmiany w ustawie </w:t>
      </w:r>
      <w:r w:rsidRPr="00691C98">
        <w:rPr>
          <w:rFonts w:ascii="Times New Roman" w:hAnsi="Times New Roman"/>
          <w:b/>
          <w:color w:val="000000" w:themeColor="text1"/>
          <w:shd w:val="clear" w:color="auto" w:fill="FFFFFF"/>
        </w:rPr>
        <w:t>o systemie rekompensat dla sektorów i podsektorów energochłonnych</w:t>
      </w:r>
      <w:r>
        <w:rPr>
          <w:rFonts w:ascii="Times New Roman" w:hAnsi="Times New Roman"/>
          <w:b/>
          <w:color w:val="000000" w:themeColor="text1"/>
          <w:shd w:val="clear" w:color="auto" w:fill="FFFFFF"/>
        </w:rPr>
        <w:t>:</w:t>
      </w:r>
    </w:p>
    <w:p w:rsidR="000109A5" w:rsidRPr="00552199" w:rsidRDefault="000109A5" w:rsidP="000109A5">
      <w:pPr>
        <w:pStyle w:val="Tekstpodstawowyzwciciem"/>
        <w:spacing w:after="120" w:line="276" w:lineRule="auto"/>
        <w:ind w:firstLine="0"/>
        <w:jc w:val="both"/>
        <w:rPr>
          <w:sz w:val="22"/>
          <w:szCs w:val="22"/>
        </w:rPr>
      </w:pPr>
      <w:r w:rsidRPr="00552199">
        <w:rPr>
          <w:sz w:val="22"/>
          <w:szCs w:val="22"/>
        </w:rPr>
        <w:t>1)</w:t>
      </w:r>
      <w:r w:rsidRPr="00552199">
        <w:rPr>
          <w:sz w:val="22"/>
          <w:szCs w:val="22"/>
        </w:rPr>
        <w:tab/>
        <w:t>Podmioty uprawnione</w:t>
      </w:r>
    </w:p>
    <w:p w:rsidR="000109A5" w:rsidRPr="00D4745C" w:rsidRDefault="000109A5" w:rsidP="000109A5">
      <w:pPr>
        <w:pStyle w:val="Tekstpodstawowyzwciciem"/>
        <w:spacing w:after="120"/>
        <w:ind w:firstLine="0"/>
        <w:jc w:val="both"/>
        <w:rPr>
          <w:sz w:val="22"/>
          <w:szCs w:val="22"/>
        </w:rPr>
      </w:pPr>
      <w:r w:rsidRPr="00D4745C">
        <w:rPr>
          <w:sz w:val="22"/>
          <w:szCs w:val="22"/>
        </w:rPr>
        <w:t>Na etapie wdrażania systemu rekompensat dla przedsiębiorstw energochłonnych pojawiła się rozbieżność w sposobie interpretacji przepisów dotyczących zakresu produkcji objętej mechanizmem rekompensat. Wedle niektórych analiz ustawa w obecnym brzmieniu pozwala na przyznanie rekompensat wyłącznie w odniesieniu do produktów sprzedanych, co wynika z art. 2 ustawy o systemie rekompensat dla sektorów i podsektorów energochłonnych, w szczególności zawartego w nim określenia działalności gospodarczej.</w:t>
      </w:r>
    </w:p>
    <w:p w:rsidR="000109A5" w:rsidRPr="00D4745C" w:rsidRDefault="000109A5" w:rsidP="000109A5">
      <w:pPr>
        <w:pStyle w:val="Tekstpodstawowyzwciciem"/>
        <w:spacing w:after="120"/>
        <w:ind w:firstLine="0"/>
        <w:jc w:val="both"/>
        <w:rPr>
          <w:sz w:val="22"/>
          <w:szCs w:val="22"/>
        </w:rPr>
      </w:pPr>
      <w:r w:rsidRPr="00D4745C">
        <w:rPr>
          <w:sz w:val="22"/>
          <w:szCs w:val="22"/>
        </w:rPr>
        <w:t>Intencją ustawodawcy jest jednak przyznawanie rekompensat zarówno w odniesieniu do energii elektrycznej zużywanej na potrzeby wytwarz</w:t>
      </w:r>
      <w:r>
        <w:rPr>
          <w:sz w:val="22"/>
          <w:szCs w:val="22"/>
        </w:rPr>
        <w:t xml:space="preserve">ania kwalifikowanych produktów </w:t>
      </w:r>
      <w:r w:rsidRPr="00D4745C">
        <w:rPr>
          <w:sz w:val="22"/>
          <w:szCs w:val="22"/>
        </w:rPr>
        <w:t>wymienionych w</w:t>
      </w:r>
      <w:r>
        <w:rPr>
          <w:sz w:val="22"/>
          <w:szCs w:val="22"/>
        </w:rPr>
        <w:t> </w:t>
      </w:r>
      <w:r w:rsidRPr="00D4745C">
        <w:rPr>
          <w:sz w:val="22"/>
          <w:szCs w:val="22"/>
        </w:rPr>
        <w:t>ustawie, które są następnie przedmiotem sprzedaży na rzecz osób trzecich, jak i w odniesieniu do energii zużywanej na potrzeby wytwarzania produktów, któr</w:t>
      </w:r>
      <w:r>
        <w:rPr>
          <w:sz w:val="22"/>
          <w:szCs w:val="22"/>
        </w:rPr>
        <w:t>e są następnie wykorzystywane w </w:t>
      </w:r>
      <w:r w:rsidRPr="00D4745C">
        <w:rPr>
          <w:sz w:val="22"/>
          <w:szCs w:val="22"/>
        </w:rPr>
        <w:t>procesie produkcyjnym do wytworzenia innego produktu końcowego.</w:t>
      </w:r>
    </w:p>
    <w:p w:rsidR="000109A5" w:rsidRPr="00D4745C" w:rsidRDefault="000109A5" w:rsidP="000109A5">
      <w:pPr>
        <w:pStyle w:val="Tekstpodstawowyzwciciem"/>
        <w:spacing w:after="120"/>
        <w:ind w:firstLine="0"/>
        <w:jc w:val="both"/>
        <w:rPr>
          <w:sz w:val="22"/>
          <w:szCs w:val="22"/>
        </w:rPr>
      </w:pPr>
      <w:r w:rsidRPr="00D4745C">
        <w:rPr>
          <w:sz w:val="22"/>
          <w:szCs w:val="22"/>
        </w:rPr>
        <w:t>Poprawka ma na celu wyeliminowanie możliwości stosowania wykładni zawężającej w odniesieniu do przyznania rekompensat wyłącznie do produkcji związanej z prowadzeniem działalności gospodarczej, a więc działalności o charakterze zarobkowym w sektorze lub podsektorze energochłonnym, z pominięciem wytwarzania produktów energochłonnych, które nie podlegają sprzedaży lecz wykorzystaniu przez wnioskodawcę w ramach dalszej obróbki w procesie technologicznym. Zgodnie z celem mechanizmu rekompensat kosztów pośrednich wypłata rekompensat należna jest w odniesieniu do całej produkcji w ramach sektorów i podsektorów energochłonnych określonych w załączniku nr 1 do ustawy.</w:t>
      </w:r>
    </w:p>
    <w:p w:rsidR="000109A5" w:rsidRPr="00552199" w:rsidRDefault="000109A5" w:rsidP="000109A5">
      <w:pPr>
        <w:pStyle w:val="Tekstpodstawowyzwciciem"/>
        <w:spacing w:after="120"/>
        <w:ind w:firstLine="0"/>
        <w:jc w:val="both"/>
        <w:rPr>
          <w:sz w:val="22"/>
          <w:szCs w:val="22"/>
        </w:rPr>
      </w:pPr>
      <w:r w:rsidRPr="00D4745C">
        <w:rPr>
          <w:sz w:val="22"/>
          <w:szCs w:val="22"/>
        </w:rPr>
        <w:t xml:space="preserve">Intencją mechanizmu rekompensat kosztów pośrednich jest zwrot części kosztów uprawnień do emisji przenoszonych w cenie energii elektrycznej, która zużyta została do procesów produkcyjnych </w:t>
      </w:r>
      <w:r w:rsidRPr="00D4745C">
        <w:rPr>
          <w:sz w:val="22"/>
          <w:szCs w:val="22"/>
        </w:rPr>
        <w:lastRenderedPageBreak/>
        <w:t>wyrobów, których produkcja kwalifikuje się do sektorów niezależnie od tego czy są one w ramach działalności gospodarczej czy wykorzystywane do dalszej obróbki technologicznej.</w:t>
      </w:r>
    </w:p>
    <w:p w:rsidR="000109A5" w:rsidRPr="00552199" w:rsidRDefault="000109A5" w:rsidP="000109A5">
      <w:pPr>
        <w:pStyle w:val="Tekstpodstawowyzwciciem"/>
        <w:spacing w:after="120"/>
        <w:ind w:firstLine="0"/>
        <w:jc w:val="both"/>
        <w:rPr>
          <w:sz w:val="22"/>
          <w:szCs w:val="22"/>
        </w:rPr>
      </w:pPr>
      <w:r w:rsidRPr="00552199">
        <w:rPr>
          <w:sz w:val="22"/>
          <w:szCs w:val="22"/>
        </w:rPr>
        <w:t>2)</w:t>
      </w:r>
      <w:r w:rsidRPr="00552199">
        <w:rPr>
          <w:sz w:val="22"/>
          <w:szCs w:val="22"/>
        </w:rPr>
        <w:tab/>
        <w:t>Zwiększona zdolność produkcyjna</w:t>
      </w:r>
    </w:p>
    <w:p w:rsidR="000109A5" w:rsidRPr="00D4745C" w:rsidRDefault="000109A5" w:rsidP="000109A5">
      <w:pPr>
        <w:pStyle w:val="Tekstpodstawowyzwciciem"/>
        <w:spacing w:after="120"/>
        <w:ind w:firstLine="0"/>
        <w:jc w:val="both"/>
        <w:rPr>
          <w:sz w:val="22"/>
          <w:szCs w:val="22"/>
        </w:rPr>
      </w:pPr>
      <w:r w:rsidRPr="00D4745C">
        <w:rPr>
          <w:sz w:val="22"/>
          <w:szCs w:val="22"/>
        </w:rPr>
        <w:t>Projektowana zmiana ma na celu dookreślenie w zakresie tego, jak powinna zostać wyznaczona zdolność produkcyjna instalacj</w:t>
      </w:r>
      <w:r>
        <w:rPr>
          <w:sz w:val="22"/>
          <w:szCs w:val="22"/>
        </w:rPr>
        <w:t>i po jej znaczącym zwiększeniu.</w:t>
      </w:r>
    </w:p>
    <w:p w:rsidR="000109A5" w:rsidRDefault="000109A5" w:rsidP="000109A5">
      <w:pPr>
        <w:pStyle w:val="Tekstpodstawowyzwciciem"/>
        <w:spacing w:after="120"/>
        <w:ind w:firstLine="0"/>
        <w:jc w:val="both"/>
        <w:rPr>
          <w:sz w:val="22"/>
          <w:szCs w:val="22"/>
        </w:rPr>
      </w:pPr>
      <w:r w:rsidRPr="00D4745C">
        <w:rPr>
          <w:sz w:val="22"/>
          <w:szCs w:val="22"/>
        </w:rPr>
        <w:t>Zgodnie z poprawką, zainstalowana zdolność produkcyjna instalacji po znaczącej zmianie zdolności produkcyjnej określa się na podstawie średniej z 2 największych mie</w:t>
      </w:r>
      <w:r>
        <w:rPr>
          <w:sz w:val="22"/>
          <w:szCs w:val="22"/>
        </w:rPr>
        <w:t>sięcznych wielkości produkcji w </w:t>
      </w:r>
      <w:r w:rsidRPr="00D4745C">
        <w:rPr>
          <w:sz w:val="22"/>
          <w:szCs w:val="22"/>
        </w:rPr>
        <w:t xml:space="preserve">ciągu pierwszych sześciu miesięcy po rozpoczęciu działalności po zmianie. Kluczowe w tym zakresie jest rozumienie </w:t>
      </w:r>
      <w:r>
        <w:rPr>
          <w:sz w:val="22"/>
          <w:szCs w:val="22"/>
        </w:rPr>
        <w:t xml:space="preserve">pojęcia </w:t>
      </w:r>
      <w:r w:rsidRPr="00D4745C">
        <w:rPr>
          <w:sz w:val="22"/>
          <w:szCs w:val="22"/>
        </w:rPr>
        <w:t>„rozpoczęcie zmienionej działalności”, które nie musi się pokrywać z</w:t>
      </w:r>
      <w:r>
        <w:rPr>
          <w:sz w:val="22"/>
          <w:szCs w:val="22"/>
        </w:rPr>
        <w:t> </w:t>
      </w:r>
      <w:r w:rsidRPr="00D4745C">
        <w:rPr>
          <w:sz w:val="22"/>
          <w:szCs w:val="22"/>
        </w:rPr>
        <w:t>datą zakończenia zmiany fizycznej. Wynika to ze stopnia skomplikowania procesów produkcyjnych i konieczności włączenia zmienionej instalacji w cały cykl produkcji. Określenie daty rozpoczęcia zmienionej działalności leży po stronie wnioskodawcy i może być badane przez organ prowadzący postępowanie. Zaproponowane rozwiązanie ma na celu wyznaczenie zdolności produkcyjnej na podstawie wartości produkcji w normalnych warunkach pracy instalacji</w:t>
      </w:r>
      <w:r w:rsidRPr="00552199">
        <w:rPr>
          <w:sz w:val="22"/>
          <w:szCs w:val="22"/>
        </w:rPr>
        <w:t>.</w:t>
      </w:r>
    </w:p>
    <w:p w:rsidR="000109A5" w:rsidRPr="00552199" w:rsidRDefault="000109A5" w:rsidP="000109A5">
      <w:pPr>
        <w:pStyle w:val="Tekstpodstawowyzwciciem"/>
        <w:spacing w:after="120"/>
        <w:ind w:firstLine="0"/>
        <w:jc w:val="both"/>
        <w:rPr>
          <w:sz w:val="22"/>
          <w:szCs w:val="22"/>
        </w:rPr>
      </w:pPr>
      <w:r w:rsidRPr="00D4745C">
        <w:rPr>
          <w:sz w:val="22"/>
          <w:szCs w:val="22"/>
        </w:rPr>
        <w:t>Zmiana w art. 10 w ust. 3 w pkt 3 w lit. b jest bezpośrednią konsekwencją zmiany polegającej na dodaniu ust. 2a w art. 8.</w:t>
      </w:r>
    </w:p>
    <w:p w:rsidR="000109A5" w:rsidRPr="00552199" w:rsidRDefault="000109A5" w:rsidP="000109A5">
      <w:p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3)</w:t>
      </w:r>
      <w:r w:rsidRPr="00552199">
        <w:rPr>
          <w:rFonts w:ascii="Times New Roman" w:hAnsi="Times New Roman"/>
          <w:color w:val="000000" w:themeColor="text1"/>
          <w:shd w:val="clear" w:color="auto" w:fill="FFFFFF"/>
        </w:rPr>
        <w:tab/>
        <w:t>Wnioski w sprawie rekompensat</w:t>
      </w:r>
    </w:p>
    <w:p w:rsidR="000109A5" w:rsidRPr="00552199" w:rsidRDefault="000109A5" w:rsidP="000109A5">
      <w:p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Projektowane zmiany w ustawie o systemie rek</w:t>
      </w:r>
      <w:r>
        <w:rPr>
          <w:rFonts w:ascii="Times New Roman" w:hAnsi="Times New Roman"/>
          <w:color w:val="000000" w:themeColor="text1"/>
          <w:shd w:val="clear" w:color="auto" w:fill="FFFFFF"/>
        </w:rPr>
        <w:t>ompensat dla sektorów i </w:t>
      </w:r>
      <w:r w:rsidRPr="00552199">
        <w:rPr>
          <w:rFonts w:ascii="Times New Roman" w:hAnsi="Times New Roman"/>
          <w:color w:val="000000" w:themeColor="text1"/>
          <w:shd w:val="clear" w:color="auto" w:fill="FFFFFF"/>
        </w:rPr>
        <w:t>podsektorów energochłonnych mają na celu usprawnienie i przyspieszenie wypłaty rekompensat kosztów pośrednich uprawnień do emisji, które poniesione zostały przez przedsiębiorstwa energochłonne w 2019 r. Polegają one na:</w:t>
      </w:r>
    </w:p>
    <w:p w:rsidR="000109A5" w:rsidRPr="00552199" w:rsidRDefault="000109A5" w:rsidP="000109A5">
      <w:pPr>
        <w:pStyle w:val="Akapitzlist"/>
        <w:numPr>
          <w:ilvl w:val="0"/>
          <w:numId w:val="5"/>
        </w:num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skróceniu terminu dla Prezesa URE na wydanie decyzji o przyznaniu lub odmowie przyznania rekompensat;</w:t>
      </w:r>
    </w:p>
    <w:p w:rsidR="000109A5" w:rsidRPr="00552199" w:rsidRDefault="000109A5" w:rsidP="000109A5">
      <w:pPr>
        <w:pStyle w:val="Akapitzlist"/>
        <w:numPr>
          <w:ilvl w:val="0"/>
          <w:numId w:val="5"/>
        </w:num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odpowiednim skróceniu terminu dla Prezesa URE do przekazania wykazu podmiotów, którym rekompensaty zostały przyznane oraz odpowiednim skróceniu terminu wypłaty środków przez Bank Gospodarstwa Krajowego;</w:t>
      </w:r>
    </w:p>
    <w:p w:rsidR="000109A5" w:rsidRPr="00552199" w:rsidRDefault="000109A5" w:rsidP="000109A5">
      <w:pPr>
        <w:pStyle w:val="Akapitzlist"/>
        <w:numPr>
          <w:ilvl w:val="0"/>
          <w:numId w:val="5"/>
        </w:numPr>
        <w:spacing w:after="120" w:line="360" w:lineRule="auto"/>
        <w:jc w:val="both"/>
        <w:rPr>
          <w:rFonts w:ascii="Times New Roman" w:hAnsi="Times New Roman"/>
          <w:color w:val="000000" w:themeColor="text1"/>
          <w:shd w:val="clear" w:color="auto" w:fill="FFFFFF"/>
        </w:rPr>
      </w:pPr>
      <w:r w:rsidRPr="00552199">
        <w:rPr>
          <w:rFonts w:ascii="Times New Roman" w:hAnsi="Times New Roman"/>
          <w:color w:val="000000" w:themeColor="text1"/>
          <w:shd w:val="clear" w:color="auto" w:fill="FFFFFF"/>
        </w:rPr>
        <w:t>ograniczeniu zakresu weryfikacji przez Prezesa URE (określonego w art. 10 ust. 8 ustawy) wniosków złożonych na etapie postepowania w sprawie przyznania rekompensat jedynie do ich poprawności z przepisami ustawy, kompletności i zgodności z opinią weryfikatora. Zakres badania wniosku oraz metodyki przez weryfikatora (określony w art. 10 ust. 7) nie podlega ograniczeniu. Należy wskazać, iż Prezesowi URE przysługuje prawo do wszczęcia postępowania w sprawie zwrotu przyznanych rekompensat w przypadku zaistnienia przesłanek, o których mowa w art. 13 zmienianej ustawy.</w:t>
      </w:r>
    </w:p>
    <w:p w:rsidR="000109A5" w:rsidRPr="000109A5" w:rsidRDefault="000109A5" w:rsidP="000109A5">
      <w:pPr>
        <w:spacing w:after="120" w:line="360" w:lineRule="auto"/>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lastRenderedPageBreak/>
        <w:t>Wszystkie p</w:t>
      </w:r>
      <w:r w:rsidRPr="00552199">
        <w:rPr>
          <w:rFonts w:ascii="Times New Roman" w:hAnsi="Times New Roman"/>
          <w:color w:val="000000" w:themeColor="text1"/>
          <w:shd w:val="clear" w:color="auto" w:fill="FFFFFF"/>
        </w:rPr>
        <w:t xml:space="preserve">roponowane </w:t>
      </w:r>
      <w:r>
        <w:rPr>
          <w:rFonts w:ascii="Times New Roman" w:hAnsi="Times New Roman"/>
          <w:color w:val="000000" w:themeColor="text1"/>
          <w:shd w:val="clear" w:color="auto" w:fill="FFFFFF"/>
        </w:rPr>
        <w:t xml:space="preserve">wyżej </w:t>
      </w:r>
      <w:r w:rsidRPr="00552199">
        <w:rPr>
          <w:rFonts w:ascii="Times New Roman" w:hAnsi="Times New Roman"/>
          <w:color w:val="000000" w:themeColor="text1"/>
          <w:shd w:val="clear" w:color="auto" w:fill="FFFFFF"/>
        </w:rPr>
        <w:t>rozwiązania powinny pozytywnie wpłynąć na sytuację polskich przedsiębiorców, a tym samym przeciwdziałać konsekwencjom rozprzestrzeniania się wirusa SARS</w:t>
      </w:r>
      <w:r>
        <w:rPr>
          <w:rFonts w:ascii="Times New Roman" w:hAnsi="Times New Roman"/>
          <w:color w:val="000000" w:themeColor="text1"/>
          <w:shd w:val="clear" w:color="auto" w:fill="FFFFFF"/>
        </w:rPr>
        <w:t>-</w:t>
      </w:r>
      <w:r w:rsidRPr="00552199">
        <w:rPr>
          <w:rFonts w:ascii="Times New Roman" w:hAnsi="Times New Roman"/>
          <w:color w:val="000000" w:themeColor="text1"/>
          <w:shd w:val="clear" w:color="auto" w:fill="FFFFFF"/>
        </w:rPr>
        <w:t>CoV-2 dla polskiej gospodarki.</w:t>
      </w:r>
    </w:p>
    <w:p w:rsidR="008F7F28" w:rsidRPr="00691C98" w:rsidRDefault="008F7F28"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u w:val="single"/>
          <w:lang w:eastAsia="pl-PL"/>
        </w:rPr>
      </w:pPr>
      <w:r w:rsidRPr="00691C98">
        <w:rPr>
          <w:rFonts w:ascii="Times New Roman" w:hAnsi="Times New Roman"/>
          <w:b/>
          <w:lang w:eastAsia="pl-PL"/>
        </w:rPr>
        <w:t>Zmiany w ustawie o zmianie niektórych ustaw w celu ograniczenia obciążeń regulacyjnych:</w:t>
      </w:r>
    </w:p>
    <w:p w:rsidR="008F7F28" w:rsidRPr="00691C98" w:rsidRDefault="008F7F28" w:rsidP="008F7F2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W związku z zagrożeniem rozprzestrzeniania się zakażeń wirusem SARS CoV-2 istnieje konieczność wprowadzenia szczególnych rozwiązań, umożliwiających podejmowanie działań minimalizujących obciążenia przedsiębiorców w okresie występowania zagrożeń epidemiologicznych.</w:t>
      </w:r>
    </w:p>
    <w:p w:rsidR="008F7F28" w:rsidRPr="00691C98" w:rsidRDefault="008F7F28" w:rsidP="008F7F2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Przepisy ustawy o szczególnych rozwiązaniach związanych z zapobieganiem, przeciwdziałaniem i zwalczaniem COVID-19, innych chorób zakaźnych oraz wywołanych nimi sytuacji kryzysowych przewidują szereg dodatkowych obciążeń i obowiązków, które potencjalnie mogą zostać nałożone na przedsiębiorców (polecenia). Ponadto, w związku z</w:t>
      </w:r>
      <w:r w:rsidR="00EE0449">
        <w:rPr>
          <w:rFonts w:ascii="Times New Roman" w:hAnsi="Times New Roman"/>
          <w:lang w:eastAsia="pl-PL"/>
        </w:rPr>
        <w:t xml:space="preserve"> </w:t>
      </w:r>
      <w:r w:rsidRPr="00691C98">
        <w:rPr>
          <w:rFonts w:ascii="Times New Roman" w:hAnsi="Times New Roman"/>
          <w:lang w:eastAsia="pl-PL"/>
        </w:rPr>
        <w:t xml:space="preserve">sytuacją epidemiologiczną, przedsiębiorcy ponoszą wymierne straty finansowe oraz tracą zlecenia. </w:t>
      </w:r>
    </w:p>
    <w:p w:rsidR="008F7F28" w:rsidRPr="008F7F28" w:rsidRDefault="008F7F28" w:rsidP="008F7F28">
      <w:pPr>
        <w:suppressAutoHyphens/>
        <w:autoSpaceDE w:val="0"/>
        <w:autoSpaceDN w:val="0"/>
        <w:adjustRightInd w:val="0"/>
        <w:spacing w:after="120" w:line="360" w:lineRule="auto"/>
        <w:jc w:val="both"/>
        <w:rPr>
          <w:rFonts w:ascii="Times New Roman" w:hAnsi="Times New Roman"/>
          <w:lang w:eastAsia="pl-PL"/>
        </w:rPr>
      </w:pPr>
      <w:r w:rsidRPr="00691C98">
        <w:rPr>
          <w:rFonts w:ascii="Times New Roman" w:hAnsi="Times New Roman"/>
          <w:lang w:eastAsia="pl-PL"/>
        </w:rPr>
        <w:t>Biorąc pod uwagę wskazane uwarunkowania, proponuje się czasowe przesunięcie terminu wejścia w życie nowych rozwiązań prawnych, wymagających od przedsiębiorców dostosowania wykonywanej działalności gospodarczej. Przepisy ustawy o zmianie niektórych ustaw w celu ograniczenia obciążeń regulacyjnych wprowadziły m.in. rozwiązania zmierzające do zrównania pozycji prawnej drobnych przedsiębiorców i konsumentów. Ustawa przewiduje, że regulacje te wejdą w życie z dniem 1 czerwca 2020 r. Proponuje się przesunięcie tego terminu na dzień 1 stycznia 2021 r.</w:t>
      </w:r>
    </w:p>
    <w:p w:rsidR="003B4A24" w:rsidRPr="008F7F28" w:rsidRDefault="00430B9D" w:rsidP="00CB4E8B">
      <w:pPr>
        <w:pStyle w:val="Akapitzlist"/>
        <w:numPr>
          <w:ilvl w:val="1"/>
          <w:numId w:val="1"/>
        </w:numPr>
        <w:suppressAutoHyphens/>
        <w:autoSpaceDE w:val="0"/>
        <w:autoSpaceDN w:val="0"/>
        <w:adjustRightInd w:val="0"/>
        <w:spacing w:after="120" w:line="360" w:lineRule="auto"/>
        <w:jc w:val="both"/>
        <w:rPr>
          <w:rFonts w:ascii="Times New Roman" w:hAnsi="Times New Roman"/>
          <w:b/>
          <w:lang w:eastAsia="pl-PL"/>
        </w:rPr>
      </w:pPr>
      <w:bookmarkStart w:id="1" w:name="_GoBack"/>
      <w:bookmarkEnd w:id="1"/>
      <w:r w:rsidRPr="008F7F28">
        <w:rPr>
          <w:rFonts w:ascii="Times New Roman" w:hAnsi="Times New Roman"/>
          <w:b/>
          <w:lang w:eastAsia="pl-PL"/>
        </w:rPr>
        <w:t>Przepisy dostosowujące, przejściowe i końcowe</w:t>
      </w:r>
      <w:r w:rsidR="00CE539C" w:rsidRPr="008F7F28">
        <w:rPr>
          <w:rFonts w:ascii="Times New Roman" w:hAnsi="Times New Roman"/>
          <w:b/>
          <w:lang w:eastAsia="pl-PL"/>
        </w:rPr>
        <w:t>:</w:t>
      </w:r>
    </w:p>
    <w:p w:rsidR="00430B9D" w:rsidRDefault="00430B9D" w:rsidP="00691C98">
      <w:pPr>
        <w:spacing w:after="120" w:line="360" w:lineRule="auto"/>
        <w:jc w:val="both"/>
        <w:rPr>
          <w:rFonts w:ascii="Times New Roman" w:hAnsi="Times New Roman"/>
          <w:lang w:eastAsia="pl-PL"/>
        </w:rPr>
      </w:pPr>
      <w:r>
        <w:rPr>
          <w:rFonts w:ascii="Times New Roman" w:hAnsi="Times New Roman"/>
          <w:lang w:eastAsia="pl-PL"/>
        </w:rPr>
        <w:t>1)</w:t>
      </w:r>
      <w:r>
        <w:rPr>
          <w:rFonts w:ascii="Times New Roman" w:hAnsi="Times New Roman"/>
          <w:lang w:eastAsia="pl-PL"/>
        </w:rPr>
        <w:tab/>
        <w:t>Utworzenie Funduszu Przeciwdziałania COVID-19:</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Mając na względzie zapewnienie środków finansowych niezbędnych na finansowanie i wsparcie realizacji zadań związanych z przeciwdziałaniem COVID-19, zaproponowano utworzenie państwowego funduszu celowego pn. Fund</w:t>
      </w:r>
      <w:r>
        <w:rPr>
          <w:rFonts w:ascii="Times New Roman" w:hAnsi="Times New Roman"/>
          <w:lang w:eastAsia="pl-PL"/>
        </w:rPr>
        <w:t>usz Przeciwdziałania COVID-19.</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Fundusz będzie zasilany wpłatami środków pieniężnych od jednostek </w:t>
      </w:r>
      <w:r>
        <w:rPr>
          <w:rFonts w:ascii="Times New Roman" w:hAnsi="Times New Roman"/>
          <w:lang w:eastAsia="pl-PL"/>
        </w:rPr>
        <w:t>sektora finansów publicznych, o </w:t>
      </w:r>
      <w:r w:rsidRPr="00430B9D">
        <w:rPr>
          <w:rFonts w:ascii="Times New Roman" w:hAnsi="Times New Roman"/>
          <w:lang w:eastAsia="pl-PL"/>
        </w:rPr>
        <w:t>których mowa w art. 9 pkt 5-8 i 14 ustawy z dnia 27 sierpnia 2009 r. o finansach publ</w:t>
      </w:r>
      <w:r w:rsidR="00F06119">
        <w:rPr>
          <w:rFonts w:ascii="Times New Roman" w:hAnsi="Times New Roman"/>
          <w:lang w:eastAsia="pl-PL"/>
        </w:rPr>
        <w:t>icznych, z </w:t>
      </w:r>
      <w:r w:rsidRPr="00430B9D">
        <w:rPr>
          <w:rFonts w:ascii="Times New Roman" w:hAnsi="Times New Roman"/>
          <w:lang w:eastAsia="pl-PL"/>
        </w:rPr>
        <w:t>wyłączeniem samorządowych osób prawnych, z wyjątkiem ś</w:t>
      </w:r>
      <w:r w:rsidR="00F06119">
        <w:rPr>
          <w:rFonts w:ascii="Times New Roman" w:hAnsi="Times New Roman"/>
          <w:lang w:eastAsia="pl-PL"/>
        </w:rPr>
        <w:t>rodków pochodzących z dotacji z </w:t>
      </w:r>
      <w:r w:rsidRPr="00430B9D">
        <w:rPr>
          <w:rFonts w:ascii="Times New Roman" w:hAnsi="Times New Roman"/>
          <w:lang w:eastAsia="pl-PL"/>
        </w:rPr>
        <w:t>budżetu i środków, o których mowa w art. 5 ust. 1 pkt 2 i 3 ustawy o finansach publicznych. Przychody Funduszu mogą stanowić także środki, o których mowa w art. 5 ust. 1 pkt 2 ustawy, które za zgodą Komisji Europejskiej mogą zostać przeznaczone na wsparci</w:t>
      </w:r>
      <w:r w:rsidR="006F54A0">
        <w:rPr>
          <w:rFonts w:ascii="Times New Roman" w:hAnsi="Times New Roman"/>
          <w:lang w:eastAsia="pl-PL"/>
        </w:rPr>
        <w:t>e realizacji zadań związanych z </w:t>
      </w:r>
      <w:r w:rsidRPr="00430B9D">
        <w:rPr>
          <w:rFonts w:ascii="Times New Roman" w:hAnsi="Times New Roman"/>
          <w:lang w:eastAsia="pl-PL"/>
        </w:rPr>
        <w:t>przeciwdziałaniem skutkom COVID-19, wpłaty z budżetu  państwa, w tym budżetu środków europejskich, wpływy ze skarbowych papierów</w:t>
      </w:r>
      <w:r w:rsidR="006F54A0">
        <w:rPr>
          <w:rFonts w:ascii="Times New Roman" w:hAnsi="Times New Roman"/>
          <w:lang w:eastAsia="pl-PL"/>
        </w:rPr>
        <w:t xml:space="preserve"> wartościowych </w:t>
      </w:r>
      <w:r w:rsidRPr="00430B9D">
        <w:rPr>
          <w:rFonts w:ascii="Times New Roman" w:hAnsi="Times New Roman"/>
          <w:lang w:eastAsia="pl-PL"/>
        </w:rPr>
        <w:t xml:space="preserve">oraz inne przychody. Dysponentem Funduszu będzie Prezes Rady Ministrów. Prezes Rady Ministrów będzie miał możliwość upoważnienia do dysponowania Funduszem ministra, kierującego określonym działem administracji </w:t>
      </w:r>
      <w:r w:rsidRPr="00430B9D">
        <w:rPr>
          <w:rFonts w:ascii="Times New Roman" w:hAnsi="Times New Roman"/>
          <w:lang w:eastAsia="pl-PL"/>
        </w:rPr>
        <w:lastRenderedPageBreak/>
        <w:t>rządowej, zgodnie z ustawą z dnia 4 września 1997 r. o działach administracji rządowej. W przypadku udzielenia takiego upoważnienia, Prezes Rady Ministrów je</w:t>
      </w:r>
      <w:r w:rsidR="006F54A0">
        <w:rPr>
          <w:rFonts w:ascii="Times New Roman" w:hAnsi="Times New Roman"/>
          <w:lang w:eastAsia="pl-PL"/>
        </w:rPr>
        <w:t>dnocześnie określi jego zakres.</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Obsługę bankową Funduszu będzie prowadził Bank Gospodarstwa Krajowego, na zasadach określonych w umowie zawartej pomiędzy Bankiem, a dysponentem Funduszu. Na podstawie tej umowy dysponent Funduszu będzie mógł również zlecić Bankowi wykonywanie obsługi finansowo-księgowej Funduszu.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Środki Funduszu przeznaczane będą na finansowanie lub dofinansowanie realizacji zadań związanych z przeciwdziałaniem COVID-19, a także na wypłatę wynagrodzenia dla Banku za prowadzenie obsługi bankowej (mając na względzie, że prowadzenie tej obsługi nie może przekroczyć średniej wysokości wynagrodzenia pobieranego przez Bank za obsługę bankową innych </w:t>
      </w:r>
      <w:r w:rsidR="006F54A0">
        <w:rPr>
          <w:rFonts w:ascii="Times New Roman" w:hAnsi="Times New Roman"/>
          <w:lang w:eastAsia="pl-PL"/>
        </w:rPr>
        <w:t>państwowych funduszy celowych).</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Co istotne, wsparcie ze środków Funduszu będzie udzielane przez dysponenta Funduszu, na podstawie jego pisemnej dyspozycji. Nie będzie ono stanowiło dotacji w rozumieniu art. 126 ustawy z dnia 27 sierpnia 2009 r. o finansach publicznych. Mając na uwadze udzielanie wsparcia w sposób jak najbardziej efektywny, przejrzysty i uporządkowany, może ono zostać udzielone za pośrednictwem poszczególnych dysponentów części budżetowych. Środki dla poszczególnych dysponentów będą gromadzone na wyodrębnionych subkontach Funduszu. Dysponent Funduszu będzie zawierał porozumienie z dysponentem danej części budżetowej określające sposób i terminy przekazywania, rozliczania, zwrotu środków </w:t>
      </w:r>
      <w:r w:rsidR="006F54A0">
        <w:rPr>
          <w:rFonts w:ascii="Times New Roman" w:hAnsi="Times New Roman"/>
          <w:lang w:eastAsia="pl-PL"/>
        </w:rPr>
        <w:t>oraz ich sprawozdawczości.</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Wsparcie ze środków Funduszu może być udzielone jednostkom sektora finansów publicznych oraz </w:t>
      </w:r>
      <w:r w:rsidR="006F54A0">
        <w:rPr>
          <w:rFonts w:ascii="Times New Roman" w:hAnsi="Times New Roman"/>
          <w:lang w:eastAsia="pl-PL"/>
        </w:rPr>
        <w:t xml:space="preserve">jednostkom spoza tego sektora. </w:t>
      </w:r>
      <w:r w:rsidRPr="00430B9D">
        <w:rPr>
          <w:rFonts w:ascii="Times New Roman" w:hAnsi="Times New Roman"/>
          <w:lang w:eastAsia="pl-PL"/>
        </w:rPr>
        <w:t>Wsparcie ze środków, o których mowa</w:t>
      </w:r>
      <w:r w:rsidR="006F54A0">
        <w:rPr>
          <w:rFonts w:ascii="Times New Roman" w:hAnsi="Times New Roman"/>
          <w:lang w:eastAsia="pl-PL"/>
        </w:rPr>
        <w:t xml:space="preserve"> w art. 5 ust. 1 pkt 2 ustawy o </w:t>
      </w:r>
      <w:r w:rsidRPr="00430B9D">
        <w:rPr>
          <w:rFonts w:ascii="Times New Roman" w:hAnsi="Times New Roman"/>
          <w:lang w:eastAsia="pl-PL"/>
        </w:rPr>
        <w:t>finansach publicznych, przekazanych przez Komisję Europejską na wsparcie realizacji zadań związanych z przeciwdziałaniem skutkom COVID-19 będzie udzielane zgodnie z procedurami obowiąz</w:t>
      </w:r>
      <w:r w:rsidR="006F54A0">
        <w:rPr>
          <w:rFonts w:ascii="Times New Roman" w:hAnsi="Times New Roman"/>
          <w:lang w:eastAsia="pl-PL"/>
        </w:rPr>
        <w:t>ującymi przy ich wykorzystaniu.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Minister nadzorujący może zlecić podległym i nadzorowanym jednostkom sektora finansów publicznych, o których mowa w art. 9 ust. 5-8 oraz pkt 14 us</w:t>
      </w:r>
      <w:r w:rsidR="006F54A0">
        <w:rPr>
          <w:rFonts w:ascii="Times New Roman" w:hAnsi="Times New Roman"/>
          <w:lang w:eastAsia="pl-PL"/>
        </w:rPr>
        <w:t>tawy o finansach publicznych, z </w:t>
      </w:r>
      <w:r w:rsidRPr="00430B9D">
        <w:rPr>
          <w:rFonts w:ascii="Times New Roman" w:hAnsi="Times New Roman"/>
          <w:lang w:eastAsia="pl-PL"/>
        </w:rPr>
        <w:t>wyłączeniem samorządowych osób prawnych, na realizację zadań związanych z przeciwdziałaniem COVID-19. Zapewnione zostanie wsparcie ze środków Funduszu, aby um</w:t>
      </w:r>
      <w:r w:rsidR="006F54A0">
        <w:rPr>
          <w:rFonts w:ascii="Times New Roman" w:hAnsi="Times New Roman"/>
          <w:lang w:eastAsia="pl-PL"/>
        </w:rPr>
        <w:t>ożliwić realizację tych zadań.</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W projektowanych przepisach zaproponowano rozwiązanie, zgodnie z którym państwowe jednostki budżetowe i jednostki samorządu terytorialnego będą gromadziły środki z Funduszu na wydzielonym rachunku dochodów. Środki te będą przeznaczane na wydatki związane z przeciwdziałaniem COVID-19, w ramach planu finansowego tego rachunku. Dysponowanie środkami oraz opracowywanie planu finansowego dla rachunku, o którym mowa powyżej, będzie należało do wójta (burmistrza, prezydenta miasta), zarząd powiatu lub zarząd samorządu województwa, który po zakończeniu roku przedłoży </w:t>
      </w:r>
      <w:r w:rsidRPr="00430B9D">
        <w:rPr>
          <w:rFonts w:ascii="Times New Roman" w:hAnsi="Times New Roman"/>
          <w:lang w:eastAsia="pl-PL"/>
        </w:rPr>
        <w:lastRenderedPageBreak/>
        <w:t>organowi stanowiącemu jednostki samorządu terytorialnego informację o wykonan</w:t>
      </w:r>
      <w:r w:rsidR="006F54A0">
        <w:rPr>
          <w:rFonts w:ascii="Times New Roman" w:hAnsi="Times New Roman"/>
          <w:lang w:eastAsia="pl-PL"/>
        </w:rPr>
        <w:t>iu planu finansowego rachunku.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Jednoznacznie określono, że wsparcie ze środków Funduszu stanowi przychód jednostki sektora finansów publicznych, o której mowa w art. 9 pkt 5-8 i 14 ustawy o finansach publicznych. Jednostka wyodrębnia wsparci</w:t>
      </w:r>
      <w:r w:rsidR="006F54A0">
        <w:rPr>
          <w:rFonts w:ascii="Times New Roman" w:hAnsi="Times New Roman"/>
          <w:lang w:eastAsia="pl-PL"/>
        </w:rPr>
        <w:t>e i koszty w planie finansowym.</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Aby umożliwić dysponentowi Funduszu pozyskanie środków dla Fund</w:t>
      </w:r>
      <w:r w:rsidR="006F54A0">
        <w:rPr>
          <w:rFonts w:ascii="Times New Roman" w:hAnsi="Times New Roman"/>
          <w:lang w:eastAsia="pl-PL"/>
        </w:rPr>
        <w:t>uszu, będzie mógł zwrócić się z </w:t>
      </w:r>
      <w:r w:rsidRPr="00430B9D">
        <w:rPr>
          <w:rFonts w:ascii="Times New Roman" w:hAnsi="Times New Roman"/>
          <w:lang w:eastAsia="pl-PL"/>
        </w:rPr>
        <w:t>wiążącym poleceniem do dysponentów części budżetowych, którym podlegają albo którzy nadzorują jednostki sektora finansów publicznych, o których mowa w art. 9 pkt 5-8 i 14 ustawy o finansach publicznych, z wyłączeniem samorządowych osób prawnych, w szczególności, o informacje dotyczące:</w:t>
      </w:r>
    </w:p>
    <w:p w:rsidR="00430B9D" w:rsidRPr="006F54A0" w:rsidRDefault="00430B9D" w:rsidP="00B00620">
      <w:pPr>
        <w:pStyle w:val="Akapitzlist"/>
        <w:numPr>
          <w:ilvl w:val="0"/>
          <w:numId w:val="24"/>
        </w:numPr>
        <w:spacing w:after="120" w:line="360" w:lineRule="auto"/>
        <w:jc w:val="both"/>
        <w:rPr>
          <w:rFonts w:ascii="Times New Roman" w:hAnsi="Times New Roman"/>
          <w:lang w:eastAsia="pl-PL"/>
        </w:rPr>
      </w:pPr>
      <w:r w:rsidRPr="006F54A0">
        <w:rPr>
          <w:rFonts w:ascii="Times New Roman" w:hAnsi="Times New Roman"/>
          <w:lang w:eastAsia="pl-PL"/>
        </w:rPr>
        <w:t>wysokości środków pieniężnych jednostek na dzień przekazania informacji dysponentowi Funduszu, z wyodrębnieniem środków z dotacji z budżetu i środków, o których mowa w art. 5 ust. 1 pkt 2 i 3 ustawy o finansach publicznych;</w:t>
      </w:r>
    </w:p>
    <w:p w:rsidR="00430B9D" w:rsidRPr="006F54A0" w:rsidRDefault="00430B9D" w:rsidP="00B00620">
      <w:pPr>
        <w:pStyle w:val="Akapitzlist"/>
        <w:numPr>
          <w:ilvl w:val="0"/>
          <w:numId w:val="24"/>
        </w:numPr>
        <w:spacing w:after="120" w:line="360" w:lineRule="auto"/>
        <w:jc w:val="both"/>
        <w:rPr>
          <w:rFonts w:ascii="Times New Roman" w:hAnsi="Times New Roman"/>
          <w:lang w:eastAsia="pl-PL"/>
        </w:rPr>
      </w:pPr>
      <w:r w:rsidRPr="006F54A0">
        <w:rPr>
          <w:rFonts w:ascii="Times New Roman" w:hAnsi="Times New Roman"/>
          <w:lang w:eastAsia="pl-PL"/>
        </w:rPr>
        <w:t>znanych w dniu przekazania informacji zobowiązań jed</w:t>
      </w:r>
      <w:r w:rsidR="006F54A0">
        <w:rPr>
          <w:rFonts w:ascii="Times New Roman" w:hAnsi="Times New Roman"/>
          <w:lang w:eastAsia="pl-PL"/>
        </w:rPr>
        <w:t>nostki dotyczących danego roku.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 xml:space="preserve">Informacje będą przekazywane w terminie wyznaczonym przez dysponenta Funduszu, informując równocześnie ministra właściwego </w:t>
      </w:r>
      <w:r w:rsidR="006F54A0">
        <w:rPr>
          <w:rFonts w:ascii="Times New Roman" w:hAnsi="Times New Roman"/>
          <w:lang w:eastAsia="pl-PL"/>
        </w:rPr>
        <w:t>do spraw finansów publicznych.</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Dysponent Funduszu, na podstawie ww. informacji, będzie mógł wydać jednostkom sektora finansów publicznych, o których mowa w art. 9 pkt 5-8 i 14 ustawy o finansach publicznych, z wyłączeniem samorządowych osób prawnych, wiążące polecenie dokona</w:t>
      </w:r>
      <w:r w:rsidR="00EC202B">
        <w:rPr>
          <w:rFonts w:ascii="Times New Roman" w:hAnsi="Times New Roman"/>
          <w:lang w:eastAsia="pl-PL"/>
        </w:rPr>
        <w:t xml:space="preserve">nia wpłaty środków pieniężnych </w:t>
      </w:r>
      <w:r w:rsidRPr="00430B9D">
        <w:rPr>
          <w:rFonts w:ascii="Times New Roman" w:hAnsi="Times New Roman"/>
          <w:lang w:eastAsia="pl-PL"/>
        </w:rPr>
        <w:t>do Funduszu, określając ich wysokość oraz termin wpłaty. Wpłaty środków pieniężnych, będą stanowiły koszty tyc</w:t>
      </w:r>
      <w:r w:rsidR="00EC202B">
        <w:rPr>
          <w:rFonts w:ascii="Times New Roman" w:hAnsi="Times New Roman"/>
          <w:lang w:eastAsia="pl-PL"/>
        </w:rPr>
        <w:t>h jednostek, które je dokonały.</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Dysponent Funduszu może zwrócić z Funduszu niewykorzystane w całości albo w części środki pieniężne tym jednostkom, które dokonały ich wpłaty, z wyłączeniem wpłat z budżetu państwa. Zwrot środków dokonany w bieżącym roku budżetowym będzie stanowił zmniejszenie: przychodów Funduszu i kosztów jednostki sektora finansów publicznych, która otrzymała zwrot środków pieniężnych. Zwrot środków dokonany w kolejnym roku budżetowym będzie stanowił: koszty Funduszu i przychody jednostki sektora finansów publicznych, która otrzymała zwrot środków pieniężnych</w:t>
      </w:r>
      <w:r w:rsidR="00EC202B">
        <w:rPr>
          <w:rFonts w:ascii="Times New Roman" w:hAnsi="Times New Roman"/>
          <w:lang w:eastAsia="pl-PL"/>
        </w:rPr>
        <w:t xml:space="preserve"> </w:t>
      </w:r>
      <w:r w:rsidRPr="00430B9D">
        <w:rPr>
          <w:rFonts w:ascii="Times New Roman" w:hAnsi="Times New Roman"/>
          <w:lang w:eastAsia="pl-PL"/>
        </w:rPr>
        <w:t>Minister właściwy do spraw budżetu, na wniosek dysponenta Funduszu, przekaże Funduszowi skarbowe papiery wartościowe na d</w:t>
      </w:r>
      <w:r w:rsidR="00EC202B">
        <w:rPr>
          <w:rFonts w:ascii="Times New Roman" w:hAnsi="Times New Roman"/>
          <w:lang w:eastAsia="pl-PL"/>
        </w:rPr>
        <w:t>ofinansowanie realizacji zadań.</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Minister właściwy do spraw budżetu określi, przez wydanie listu emisyjnego, warunki emisji skarbowych papierów wartościowych oraz sposób realizacji</w:t>
      </w:r>
      <w:r w:rsidR="00EC202B">
        <w:rPr>
          <w:rFonts w:ascii="Times New Roman" w:hAnsi="Times New Roman"/>
          <w:lang w:eastAsia="pl-PL"/>
        </w:rPr>
        <w:t xml:space="preserve"> świadczeń z nich wynikających.</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List emisyjny będzie zawierał w szczególności: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datę emisji;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lastRenderedPageBreak/>
        <w:t>powołanie podstawy prawnej emisji;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 xml:space="preserve">jednostkową wartość nominalną w </w:t>
      </w:r>
      <w:r w:rsidR="00EC202B">
        <w:rPr>
          <w:rFonts w:ascii="Times New Roman" w:hAnsi="Times New Roman"/>
          <w:lang w:eastAsia="pl-PL"/>
        </w:rPr>
        <w:t>PLN</w:t>
      </w:r>
      <w:r w:rsidRPr="00EC202B">
        <w:rPr>
          <w:rFonts w:ascii="Times New Roman" w:hAnsi="Times New Roman"/>
          <w:lang w:eastAsia="pl-PL"/>
        </w:rPr>
        <w:t>;</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cenę zbycia lub sposób jej ustalenia;</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stopę procentową lub sposób jej obliczania;</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określenie sposobu i terminów wypłaty należności głównej oraz należności ubocznych;</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datę, od której nalicza się oprocentowanie skarbowych papierów wartościowych tej emisji;</w:t>
      </w:r>
    </w:p>
    <w:p w:rsidR="00430B9D" w:rsidRPr="00EC202B" w:rsidRDefault="00430B9D" w:rsidP="00B00620">
      <w:pPr>
        <w:pStyle w:val="Akapitzlist"/>
        <w:numPr>
          <w:ilvl w:val="0"/>
          <w:numId w:val="25"/>
        </w:numPr>
        <w:spacing w:after="120" w:line="360" w:lineRule="auto"/>
        <w:jc w:val="both"/>
        <w:rPr>
          <w:rFonts w:ascii="Times New Roman" w:hAnsi="Times New Roman"/>
          <w:lang w:eastAsia="pl-PL"/>
        </w:rPr>
      </w:pPr>
      <w:r w:rsidRPr="00EC202B">
        <w:rPr>
          <w:rFonts w:ascii="Times New Roman" w:hAnsi="Times New Roman"/>
          <w:lang w:eastAsia="pl-PL"/>
        </w:rPr>
        <w:t>termin wykupu oraz zastrzeżenia w przedmiocie możliwości wcześniejszego wykupu.</w:t>
      </w:r>
    </w:p>
    <w:p w:rsidR="00430B9D" w:rsidRP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Emisja skarbowych papierów wartościowych nastąpi z dniem zarejestrowania skarbowych papierów wartościowych w depozycie papierów wartościowych oraz w kwocie równej wartości nominalnej wyemitowanych papierów wartościowych. Do emisji skarbowych papierów wartościowych nie stosuje się przepisów art. 98 i art. 102 ustawy o finansach publicznych oraz przepisów wydanych n</w:t>
      </w:r>
      <w:r w:rsidR="00EC202B">
        <w:rPr>
          <w:rFonts w:ascii="Times New Roman" w:hAnsi="Times New Roman"/>
          <w:lang w:eastAsia="pl-PL"/>
        </w:rPr>
        <w:t>a podstawie art. 97 tej ustawy.</w:t>
      </w:r>
    </w:p>
    <w:p w:rsidR="00430B9D" w:rsidRDefault="00430B9D" w:rsidP="00430B9D">
      <w:pPr>
        <w:spacing w:after="120" w:line="360" w:lineRule="auto"/>
        <w:jc w:val="both"/>
        <w:rPr>
          <w:rFonts w:ascii="Times New Roman" w:hAnsi="Times New Roman"/>
          <w:lang w:eastAsia="pl-PL"/>
        </w:rPr>
      </w:pPr>
      <w:r w:rsidRPr="00430B9D">
        <w:rPr>
          <w:rFonts w:ascii="Times New Roman" w:hAnsi="Times New Roman"/>
          <w:lang w:eastAsia="pl-PL"/>
        </w:rPr>
        <w:t>Zgodnie z projektowanymi regulacjami, dysponent Funduszu ma obowiązek sporządzenia projektu planu finansowego Funduszu na rok 2020 w terminie 30 dni od dnia wejścia w życie niniejszej ustawy. Projekt planu, będzie podlegał uzgodnieniu z ministrem właściwym do spraw finansów publicznych, w terminie 10 dni roboczych od dnia jego przekazania przez dysponenta Funduszu.</w:t>
      </w:r>
    </w:p>
    <w:p w:rsidR="00AA04DD" w:rsidRDefault="00AA04DD" w:rsidP="00430B9D">
      <w:pPr>
        <w:spacing w:after="120" w:line="360" w:lineRule="auto"/>
        <w:jc w:val="both"/>
        <w:rPr>
          <w:rFonts w:ascii="Times New Roman" w:hAnsi="Times New Roman"/>
          <w:lang w:eastAsia="pl-PL"/>
        </w:rPr>
      </w:pPr>
      <w:r>
        <w:rPr>
          <w:rFonts w:ascii="Times New Roman" w:hAnsi="Times New Roman"/>
          <w:lang w:eastAsia="pl-PL"/>
        </w:rPr>
        <w:t>Ponadto przewidziano</w:t>
      </w:r>
      <w:r w:rsidRPr="00AA04DD">
        <w:rPr>
          <w:rFonts w:ascii="Times New Roman" w:hAnsi="Times New Roman"/>
          <w:lang w:eastAsia="pl-PL"/>
        </w:rPr>
        <w:t xml:space="preserve"> podstawę materialnoprawną, umożliwiającą dokonywanie wpłat do Funduszu Przeciwdziałania COVID-19, na zadania realizowane przez Fundusz, ze</w:t>
      </w:r>
      <w:r>
        <w:rPr>
          <w:rFonts w:ascii="Times New Roman" w:hAnsi="Times New Roman"/>
          <w:lang w:eastAsia="pl-PL"/>
        </w:rPr>
        <w:t xml:space="preserve"> </w:t>
      </w:r>
      <w:r w:rsidRPr="00AA04DD">
        <w:rPr>
          <w:rFonts w:ascii="Times New Roman" w:hAnsi="Times New Roman"/>
          <w:lang w:eastAsia="pl-PL"/>
        </w:rPr>
        <w:t xml:space="preserve">środków budżetu państwa, </w:t>
      </w:r>
      <w:r>
        <w:rPr>
          <w:rFonts w:ascii="Times New Roman" w:hAnsi="Times New Roman"/>
          <w:bCs/>
          <w:lang w:eastAsia="pl-PL"/>
        </w:rPr>
        <w:t>w </w:t>
      </w:r>
      <w:r w:rsidRPr="00AA04DD">
        <w:rPr>
          <w:rFonts w:ascii="Times New Roman" w:hAnsi="Times New Roman"/>
          <w:bCs/>
          <w:lang w:eastAsia="pl-PL"/>
        </w:rPr>
        <w:t>tym budżetu środków europejskich</w:t>
      </w:r>
      <w:r w:rsidRPr="00AA04DD">
        <w:rPr>
          <w:rFonts w:ascii="Times New Roman" w:hAnsi="Times New Roman"/>
          <w:lang w:eastAsia="pl-PL"/>
        </w:rPr>
        <w:t>.</w:t>
      </w:r>
    </w:p>
    <w:p w:rsidR="00430B9D" w:rsidRDefault="00430B9D" w:rsidP="00691C98">
      <w:pPr>
        <w:spacing w:after="120" w:line="360" w:lineRule="auto"/>
        <w:jc w:val="both"/>
        <w:rPr>
          <w:rFonts w:ascii="Times New Roman" w:hAnsi="Times New Roman"/>
          <w:lang w:eastAsia="pl-PL"/>
        </w:rPr>
      </w:pPr>
      <w:r>
        <w:rPr>
          <w:rFonts w:ascii="Times New Roman" w:hAnsi="Times New Roman"/>
          <w:lang w:eastAsia="pl-PL"/>
        </w:rPr>
        <w:t>2)</w:t>
      </w:r>
      <w:r>
        <w:rPr>
          <w:rFonts w:ascii="Times New Roman" w:hAnsi="Times New Roman"/>
          <w:lang w:eastAsia="pl-PL"/>
        </w:rPr>
        <w:tab/>
        <w:t>Wejście w życie ustawy:</w:t>
      </w:r>
    </w:p>
    <w:p w:rsidR="002F6C78" w:rsidRDefault="002F6C78" w:rsidP="00691C98">
      <w:pPr>
        <w:spacing w:after="120" w:line="360" w:lineRule="auto"/>
        <w:jc w:val="both"/>
        <w:rPr>
          <w:rFonts w:ascii="Times New Roman" w:hAnsi="Times New Roman"/>
          <w:lang w:eastAsia="pl-PL"/>
        </w:rPr>
      </w:pPr>
      <w:r w:rsidRPr="00691C98">
        <w:rPr>
          <w:rFonts w:ascii="Times New Roman" w:hAnsi="Times New Roman"/>
          <w:lang w:eastAsia="pl-PL"/>
        </w:rPr>
        <w:t>Z uwagi na pilność projektu związaną z potencjalnym rozprzestrzenieniem się koronawirusa przewiduje się jego niezwłoczne wejście w życie.</w:t>
      </w:r>
    </w:p>
    <w:p w:rsidR="00CD612E" w:rsidRPr="00691C98" w:rsidRDefault="00CD612E" w:rsidP="00CB4E8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Skutki społeczno-gospodarcze</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Projektowane przepisy będą miały wpływ na całość życia społeczno-gospodarczego w Polsce. Działania mające na celu zatrzymanie rozprzestrzeniani</w:t>
      </w:r>
      <w:r>
        <w:rPr>
          <w:rFonts w:ascii="Times New Roman" w:hAnsi="Times New Roman"/>
          <w:lang w:eastAsia="pl-PL"/>
        </w:rPr>
        <w:t>a się epidemia wirusa COVID-19</w:t>
      </w:r>
      <w:r w:rsidRPr="00FD4E90">
        <w:rPr>
          <w:rFonts w:ascii="Times New Roman" w:hAnsi="Times New Roman"/>
          <w:lang w:eastAsia="pl-PL"/>
        </w:rPr>
        <w:t xml:space="preserve"> wpływają na Polaków w bezprecedensowy sposób. Wprowadzenie 12 marca 2020 r. stanu zagrożenia epidemicznego na obszarze całego kraju oraz środki następcze zastosowane przez Ministra Zdrowia oraz Radę Ministrów znacznie utrudniają funkcjonowanie większości przedsiębiorstw. Zakazane są zgromadzenia powyżej 50 osób, zalecane jest pozostanie w domu i maksymalne ograniczenie kontaktu z innymi osobami, zamknięte są szkoły, instytucje kultury, obiekty sportowe, zawieszony został międzynarodowy ruch pasażerski (lotniczy i kolejowy) Zamknięto centra i galerie handlowe; restauracje i punkty gastronomiczne mogą wydawać posiłki tylko w dostawie; nieczynne są kina, teatry, parki rozrywki, ośrodki sportu. Większość firm – w miarę możliwość – przeszło na pracę </w:t>
      </w:r>
      <w:r w:rsidRPr="00FD4E90">
        <w:rPr>
          <w:rFonts w:ascii="Times New Roman" w:hAnsi="Times New Roman"/>
          <w:lang w:eastAsia="pl-PL"/>
        </w:rPr>
        <w:lastRenderedPageBreak/>
        <w:t>zdalną. Dla wielu branż działania służące zwalczeniu epidemii oznaczają de facto całkowite lub częściowe zawieszenie działalności. Oprócz wyżej wymienionych dotyczy to transportu autobusowego i mniejszym zakresie towarowego, branży turystycznej, targowej, usług kosmetycznych i fryzjerskich.</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Przygotowany pakiet rozwiązań ma na celu, z jednej strony bezpośred</w:t>
      </w:r>
      <w:r>
        <w:rPr>
          <w:rFonts w:ascii="Times New Roman" w:hAnsi="Times New Roman"/>
          <w:lang w:eastAsia="pl-PL"/>
        </w:rPr>
        <w:t>nie wsparcie przedsiębiorców, a </w:t>
      </w:r>
      <w:r w:rsidRPr="00FD4E90">
        <w:rPr>
          <w:rFonts w:ascii="Times New Roman" w:hAnsi="Times New Roman"/>
          <w:lang w:eastAsia="pl-PL"/>
        </w:rPr>
        <w:t>z drugiej zawieszenie różnego rodzaju obowiązków nałożonych na obywateli przepisami prawa – na czas walki z epidemią.</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Planuje się, że sumaryczna kwota pośrednich i bezpośrednich transf</w:t>
      </w:r>
      <w:r>
        <w:rPr>
          <w:rFonts w:ascii="Times New Roman" w:hAnsi="Times New Roman"/>
          <w:lang w:eastAsia="pl-PL"/>
        </w:rPr>
        <w:t>erów finansowych wynikających z </w:t>
      </w:r>
      <w:r w:rsidRPr="00FD4E90">
        <w:rPr>
          <w:rFonts w:ascii="Times New Roman" w:hAnsi="Times New Roman"/>
          <w:lang w:eastAsia="pl-PL"/>
        </w:rPr>
        <w:t>przygotowanych w projekcie rozwiązań wyniesie ok. 15 mld zł.</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Zasadniczym celem jest utrzymanie miejsc pracy oraz umożliwienie firmom przetrwania. Większość przedsiębiorstw, w tym w szczególności z sektora MŚP ma, lub będzie miała w najbliższym czasie, problemy z płynnością finansową. Zastrzyki środków w postaci czy to bezpośrednich transferów (np. częściowe dopłaty do wynagrodzeń, pożyczki dla mikroprzedsiębiorców) czy też potrzymanie kredytowania – mimo faktycznego zawieszenie działalności – są warunkiem ich dalszego funkcjonowania.</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Drugim komponentem wspierającym płynność finansową są przedłużenia, odroczenia lub zawieszenia poboru danin publicznych m.in. przesunięcie rozliczenia PIT, wstrzymanie poboru opłaty audiowizualnej do przedsiębiorców.</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Odrębną kwestią jest wsparcie finansowe osób, które pozostają w domu z uwagi na opiekę nad dziećmi do lat 8, czy dziećmi niepełnosprawnymi – co jest związane z zamknięciem szkół, placówek oświatowych i placówek systemu opieki społecznej. Bezpośrednim wsparciem finansowym w postaci zasiłku opiekuńczego planuje się objąć ok. 2 mln osób.</w:t>
      </w:r>
    </w:p>
    <w:p w:rsidR="00FD4E90" w:rsidRPr="00FD4E9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t>Ponieważ z uwagi na ograniczenia w kontaktach osobistych, część administracji publicznej nie może na bieżąco realizować swoich zadań przewidziano przedłużenie ważności szeregu decyzji administracyjnych – m.in. warunkowe utrzymanie legalizacji urządzeń pomiarowych (np. dystrybutory na stacjach paliw), ważność badań okresowych pracowników (np. kierowców), ważność orzeczeń o stopniu niepełnosprawności (warunkują wypłatę świadczeń). Dzięki temu zachowana zostanie ciągłość działań w sferze społeczno-gospodarczej – takich jak funkcjonowanie chociażby transportu miejskiego (utrzymanie ważności badań kierowców autobusów) lub możliwości korzystania z instytucji wsparcia przez osoby posiadające orzeczenia o niezdolności do pracy, czy stopniu niepełnosprawności. Jednocześnie projekt przewiduje przesunięcie w czasie (odroczenie) wprowadzenia szeregu nowych obowiązków informacyjnych – wynikających z już uchwalonych przepisów i oczekujących na wejście w życie – tak aby maksymalnie odciążyć prze</w:t>
      </w:r>
      <w:r w:rsidR="0062369B">
        <w:rPr>
          <w:rFonts w:ascii="Times New Roman" w:hAnsi="Times New Roman"/>
          <w:lang w:eastAsia="pl-PL"/>
        </w:rPr>
        <w:t>dsiębiorców w </w:t>
      </w:r>
      <w:r w:rsidRPr="00FD4E90">
        <w:rPr>
          <w:rFonts w:ascii="Times New Roman" w:hAnsi="Times New Roman"/>
          <w:lang w:eastAsia="pl-PL"/>
        </w:rPr>
        <w:t>trudnym dla nich okresie (np. przesunięcie drożenia JPK VAT).</w:t>
      </w:r>
    </w:p>
    <w:p w:rsidR="00EA2450" w:rsidRDefault="00FD4E90"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sidRPr="00FD4E90">
        <w:rPr>
          <w:rFonts w:ascii="Times New Roman" w:hAnsi="Times New Roman"/>
          <w:lang w:eastAsia="pl-PL"/>
        </w:rPr>
        <w:lastRenderedPageBreak/>
        <w:t>Konsekwencją zaproponowanych rozwiązań ma być maksymalne osłabienie skutków gospodarczych epidemii wirusa COVID-19, utrzymanie miejsc pracy i istnie</w:t>
      </w:r>
      <w:r>
        <w:rPr>
          <w:rFonts w:ascii="Times New Roman" w:hAnsi="Times New Roman"/>
          <w:lang w:eastAsia="pl-PL"/>
        </w:rPr>
        <w:t>nia polskich przedsiębiorstw, a </w:t>
      </w:r>
      <w:r w:rsidRPr="00FD4E90">
        <w:rPr>
          <w:rFonts w:ascii="Times New Roman" w:hAnsi="Times New Roman"/>
          <w:lang w:eastAsia="pl-PL"/>
        </w:rPr>
        <w:t>konsekwencji ograniczenie spadku wzrostu PKB.</w:t>
      </w:r>
    </w:p>
    <w:p w:rsidR="0062369B" w:rsidRPr="00FD4E90" w:rsidRDefault="0062369B" w:rsidP="00FD4E90">
      <w:pPr>
        <w:pStyle w:val="Akapitzlist"/>
        <w:suppressAutoHyphens/>
        <w:autoSpaceDE w:val="0"/>
        <w:autoSpaceDN w:val="0"/>
        <w:adjustRightInd w:val="0"/>
        <w:spacing w:after="120" w:line="360" w:lineRule="auto"/>
        <w:ind w:left="0"/>
        <w:jc w:val="both"/>
        <w:rPr>
          <w:rFonts w:ascii="Times New Roman" w:hAnsi="Times New Roman"/>
          <w:lang w:eastAsia="pl-PL"/>
        </w:rPr>
      </w:pPr>
      <w:r>
        <w:rPr>
          <w:rFonts w:ascii="Times New Roman" w:hAnsi="Times New Roman"/>
          <w:lang w:eastAsia="pl-PL"/>
        </w:rPr>
        <w:t>Szczegółowe dane dotyczące skutków społeczno-gospodarczych znajdują się w OSR.</w:t>
      </w:r>
    </w:p>
    <w:p w:rsidR="00CD612E" w:rsidRPr="00691C98" w:rsidRDefault="00CD612E" w:rsidP="00CB4E8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Realizacja art. 66 Prawa przedsiębiorców i ocena przewidywanego wpływu projektu ustawy na działalność mikroprzedsiębiorców oraz małych i średnich przedsiębiorców</w:t>
      </w:r>
    </w:p>
    <w:p w:rsidR="00CD612E" w:rsidRPr="00691C98" w:rsidRDefault="00CD612E"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ustawy w oczywisty sposób odnosi się do kwestii działalności gospodarczej, zastosowanie do niego znajduje zatem art. 66 ustawy</w:t>
      </w:r>
      <w:r w:rsidR="004A00CC">
        <w:rPr>
          <w:rFonts w:ascii="Times New Roman" w:hAnsi="Times New Roman"/>
          <w:lang w:eastAsia="pl-PL"/>
        </w:rPr>
        <w:t xml:space="preserve"> -</w:t>
      </w:r>
      <w:r w:rsidRPr="00691C98">
        <w:rPr>
          <w:rFonts w:ascii="Times New Roman" w:hAnsi="Times New Roman"/>
          <w:lang w:eastAsia="pl-PL"/>
        </w:rPr>
        <w:t xml:space="preserve"> Prawo przedsiębiorców.</w:t>
      </w:r>
      <w:r w:rsidR="00EA2450" w:rsidRPr="00691C98">
        <w:rPr>
          <w:rFonts w:ascii="Times New Roman" w:hAnsi="Times New Roman"/>
        </w:rPr>
        <w:t xml:space="preserve"> </w:t>
      </w:r>
      <w:r w:rsidR="00EA2450" w:rsidRPr="00691C98">
        <w:rPr>
          <w:rFonts w:ascii="Times New Roman" w:hAnsi="Times New Roman"/>
          <w:lang w:eastAsia="pl-PL"/>
        </w:rPr>
        <w:t>Osiągnięcie zamierzonych celów niemożliwe jest drogą inną niż ustawowa, ponieważ prawa i obowiązki obywateli wobec państwa regulowane są przepisami ustawowymi.</w:t>
      </w:r>
    </w:p>
    <w:p w:rsidR="00CD612E" w:rsidRPr="00691C98" w:rsidRDefault="00CD612E"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Ze względu na nadzwyczajną sytuację i charakter projektu, nie zostanie on przedstawiony do opiniowania i konsultacji publicznych. Jest to podyktowane koniecznością pilnego jego wejścia w</w:t>
      </w:r>
      <w:r w:rsidR="00EA2450" w:rsidRPr="00691C98">
        <w:rPr>
          <w:rFonts w:ascii="Times New Roman" w:hAnsi="Times New Roman"/>
          <w:lang w:eastAsia="pl-PL"/>
        </w:rPr>
        <w:t> </w:t>
      </w:r>
      <w:r w:rsidRPr="00691C98">
        <w:rPr>
          <w:rFonts w:ascii="Times New Roman" w:hAnsi="Times New Roman"/>
          <w:lang w:eastAsia="pl-PL"/>
        </w:rPr>
        <w:t>życie.</w:t>
      </w:r>
    </w:p>
    <w:p w:rsidR="001E159E" w:rsidRPr="00691C98" w:rsidRDefault="00CD612E" w:rsidP="00CB4E8B">
      <w:pPr>
        <w:pStyle w:val="Akapitzlist"/>
        <w:numPr>
          <w:ilvl w:val="0"/>
          <w:numId w:val="1"/>
        </w:numPr>
        <w:suppressAutoHyphens/>
        <w:autoSpaceDE w:val="0"/>
        <w:autoSpaceDN w:val="0"/>
        <w:adjustRightInd w:val="0"/>
        <w:spacing w:after="120" w:line="360" w:lineRule="auto"/>
        <w:jc w:val="both"/>
        <w:rPr>
          <w:rFonts w:ascii="Times New Roman" w:hAnsi="Times New Roman"/>
          <w:b/>
          <w:lang w:eastAsia="pl-PL"/>
        </w:rPr>
      </w:pPr>
      <w:r w:rsidRPr="00691C98">
        <w:rPr>
          <w:rFonts w:ascii="Times New Roman" w:hAnsi="Times New Roman"/>
          <w:b/>
          <w:lang w:eastAsia="pl-PL"/>
        </w:rPr>
        <w:t>Pozostałe kwestie</w:t>
      </w:r>
    </w:p>
    <w:p w:rsidR="00326144" w:rsidRPr="00691C98" w:rsidRDefault="00326144"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Przewidywany termin wejścia w życie ustawy nie narusza zasad demokratycznego państ</w:t>
      </w:r>
      <w:r w:rsidR="00AE3B01" w:rsidRPr="00691C98">
        <w:rPr>
          <w:rFonts w:ascii="Times New Roman" w:hAnsi="Times New Roman"/>
          <w:lang w:eastAsia="pl-PL"/>
        </w:rPr>
        <w:t>wa prawnego i jest uzasadniony ważnym interesem państwa</w:t>
      </w:r>
      <w:r w:rsidRPr="00691C98">
        <w:rPr>
          <w:rFonts w:ascii="Times New Roman" w:hAnsi="Times New Roman"/>
          <w:lang w:eastAsia="pl-PL"/>
        </w:rPr>
        <w:t>.</w:t>
      </w:r>
    </w:p>
    <w:p w:rsidR="00326144" w:rsidRDefault="00326144"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ustawy nie jest sprzeczny z prawem Unii Europejskiej.</w:t>
      </w:r>
    </w:p>
    <w:p w:rsidR="00EE0449" w:rsidRPr="00691C98" w:rsidRDefault="00EE0449" w:rsidP="00691C98">
      <w:pPr>
        <w:suppressAutoHyphens/>
        <w:autoSpaceDE w:val="0"/>
        <w:autoSpaceDN w:val="0"/>
        <w:adjustRightInd w:val="0"/>
        <w:spacing w:after="120" w:line="360" w:lineRule="auto"/>
        <w:ind w:firstLine="510"/>
        <w:jc w:val="both"/>
        <w:rPr>
          <w:rFonts w:ascii="Times New Roman" w:hAnsi="Times New Roman"/>
          <w:lang w:eastAsia="pl-PL"/>
        </w:rPr>
      </w:pPr>
      <w:r>
        <w:rPr>
          <w:rFonts w:ascii="Times New Roman" w:hAnsi="Times New Roman"/>
          <w:color w:val="000000"/>
          <w:lang w:eastAsia="pl-PL"/>
        </w:rPr>
        <w:t>Projekt ustawy będzie podlegał notyfikacji jako program pomocowy zgodnie z ustawą z dnia 30 kwietnia 2004 r. o postępowaniu w sprawach dotyczących pomocy publicznej (Dz. U. z 2018 r. poz. 362, z 2019 r. poz. 730 i 1063 oraz z 2020 r. poz. 284) oraz art. 108 ust. 3 Traktatu o funkcjonowaniu Unii Europejskiej, razem z innymi rozwiązaniami, które będą częścią pakietu pomocowego służącego przeciwdziałaniu COVID-19.</w:t>
      </w:r>
    </w:p>
    <w:p w:rsidR="00326144" w:rsidRPr="00691C98" w:rsidRDefault="00326144"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w:t>
      </w:r>
    </w:p>
    <w:p w:rsidR="00326144" w:rsidRPr="00691C98" w:rsidRDefault="005C7CC1" w:rsidP="00691C98">
      <w:pPr>
        <w:suppressAutoHyphens/>
        <w:autoSpaceDE w:val="0"/>
        <w:autoSpaceDN w:val="0"/>
        <w:adjustRightInd w:val="0"/>
        <w:spacing w:after="120" w:line="360" w:lineRule="auto"/>
        <w:ind w:firstLine="510"/>
        <w:jc w:val="both"/>
        <w:rPr>
          <w:rFonts w:ascii="Times New Roman" w:hAnsi="Times New Roman"/>
          <w:lang w:eastAsia="pl-PL"/>
        </w:rPr>
      </w:pPr>
      <w:r w:rsidRPr="00691C98">
        <w:rPr>
          <w:rFonts w:ascii="Times New Roman" w:hAnsi="Times New Roman"/>
          <w:lang w:eastAsia="pl-PL"/>
        </w:rPr>
        <w:t>Projekt ustawy nie wymaga uzyskania opinii, dokonania powiadomienia, konsultacji albo uzgodnienia z właściwym organami i instytucjami Unii Europejskiej, w tym z Europejskim Bankiem Centralnym, o czym mowa w § 39 uchwały nr 190 Rady Ministrów z dnia 29 października 2013 r. – Regulamin pracy Rady Ministrów (M.</w:t>
      </w:r>
      <w:r w:rsidR="00791829">
        <w:rPr>
          <w:rFonts w:ascii="Times New Roman" w:hAnsi="Times New Roman"/>
          <w:lang w:eastAsia="pl-PL"/>
        </w:rPr>
        <w:t xml:space="preserve"> </w:t>
      </w:r>
      <w:r w:rsidRPr="00691C98">
        <w:rPr>
          <w:rFonts w:ascii="Times New Roman" w:hAnsi="Times New Roman"/>
          <w:lang w:eastAsia="pl-PL"/>
        </w:rPr>
        <w:t>P. z 2016 r. poz. 1006, z późn. zm.).</w:t>
      </w:r>
    </w:p>
    <w:sectPr w:rsidR="00326144" w:rsidRPr="00691C98" w:rsidSect="00A972C0">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4B" w:rsidRDefault="003B7D4B" w:rsidP="00A972C0">
      <w:pPr>
        <w:spacing w:after="0" w:line="240" w:lineRule="auto"/>
      </w:pPr>
      <w:r>
        <w:separator/>
      </w:r>
    </w:p>
  </w:endnote>
  <w:endnote w:type="continuationSeparator" w:id="0">
    <w:p w:rsidR="003B7D4B" w:rsidRDefault="003B7D4B" w:rsidP="00A9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53727057"/>
      <w:docPartObj>
        <w:docPartGallery w:val="Page Numbers (Bottom of Page)"/>
        <w:docPartUnique/>
      </w:docPartObj>
    </w:sdtPr>
    <w:sdtContent>
      <w:p w:rsidR="003B7D4B" w:rsidRPr="00A972C0" w:rsidRDefault="003B7D4B" w:rsidP="00A972C0">
        <w:pPr>
          <w:pStyle w:val="Stopka"/>
          <w:jc w:val="center"/>
          <w:rPr>
            <w:rFonts w:ascii="Times New Roman" w:hAnsi="Times New Roman"/>
            <w:sz w:val="24"/>
            <w:szCs w:val="24"/>
          </w:rPr>
        </w:pPr>
        <w:r w:rsidRPr="00A972C0">
          <w:rPr>
            <w:rFonts w:ascii="Times New Roman" w:hAnsi="Times New Roman"/>
            <w:sz w:val="24"/>
            <w:szCs w:val="24"/>
          </w:rPr>
          <w:fldChar w:fldCharType="begin"/>
        </w:r>
        <w:r w:rsidRPr="00A972C0">
          <w:rPr>
            <w:rFonts w:ascii="Times New Roman" w:hAnsi="Times New Roman"/>
            <w:sz w:val="24"/>
            <w:szCs w:val="24"/>
          </w:rPr>
          <w:instrText>PAGE   \* MERGEFORMAT</w:instrText>
        </w:r>
        <w:r w:rsidRPr="00A972C0">
          <w:rPr>
            <w:rFonts w:ascii="Times New Roman" w:hAnsi="Times New Roman"/>
            <w:sz w:val="24"/>
            <w:szCs w:val="24"/>
          </w:rPr>
          <w:fldChar w:fldCharType="separate"/>
        </w:r>
        <w:r w:rsidR="0072572E">
          <w:rPr>
            <w:rFonts w:ascii="Times New Roman" w:hAnsi="Times New Roman"/>
            <w:noProof/>
            <w:sz w:val="24"/>
            <w:szCs w:val="24"/>
          </w:rPr>
          <w:t>92</w:t>
        </w:r>
        <w:r w:rsidRPr="00A972C0">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4B" w:rsidRDefault="003B7D4B" w:rsidP="00A972C0">
      <w:pPr>
        <w:spacing w:after="0" w:line="240" w:lineRule="auto"/>
      </w:pPr>
      <w:r>
        <w:separator/>
      </w:r>
    </w:p>
  </w:footnote>
  <w:footnote w:type="continuationSeparator" w:id="0">
    <w:p w:rsidR="003B7D4B" w:rsidRDefault="003B7D4B" w:rsidP="00A9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4B" w:rsidRDefault="003B7D4B">
    <w:pPr>
      <w:pStyle w:val="Nagwek"/>
    </w:pPr>
    <w:r>
      <w:t>Projekt 2020.03.20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A3D"/>
    <w:multiLevelType w:val="hybridMultilevel"/>
    <w:tmpl w:val="1804C264"/>
    <w:lvl w:ilvl="0" w:tplc="330E2A00">
      <w:start w:val="1"/>
      <w:numFmt w:val="bullet"/>
      <w:lvlText w:val="-"/>
      <w:lvlJc w:val="left"/>
      <w:pPr>
        <w:ind w:left="360" w:hanging="360"/>
      </w:pPr>
      <w:rPr>
        <w:rFonts w:ascii="Sitka Small" w:hAnsi="Sitka Smal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557FCA"/>
    <w:multiLevelType w:val="hybridMultilevel"/>
    <w:tmpl w:val="42C62E4A"/>
    <w:lvl w:ilvl="0" w:tplc="5B786994">
      <w:start w:val="1"/>
      <w:numFmt w:val="bullet"/>
      <w:lvlText w:val=""/>
      <w:lvlJc w:val="left"/>
      <w:pPr>
        <w:ind w:left="720" w:hanging="360"/>
      </w:pPr>
      <w:rPr>
        <w:rFonts w:ascii="Symbol" w:hAnsi="Symbol" w:hint="default"/>
      </w:rPr>
    </w:lvl>
    <w:lvl w:ilvl="1" w:tplc="49269F22">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98657C"/>
    <w:multiLevelType w:val="hybridMultilevel"/>
    <w:tmpl w:val="14AC731A"/>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F9575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A49CB"/>
    <w:multiLevelType w:val="hybridMultilevel"/>
    <w:tmpl w:val="4F60797E"/>
    <w:lvl w:ilvl="0" w:tplc="5B7869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565C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F5CA1"/>
    <w:multiLevelType w:val="hybridMultilevel"/>
    <w:tmpl w:val="C7628F8E"/>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4A32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69528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C42F84"/>
    <w:multiLevelType w:val="hybridMultilevel"/>
    <w:tmpl w:val="28AA8E64"/>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B013CB2"/>
    <w:multiLevelType w:val="multilevel"/>
    <w:tmpl w:val="5846C8C4"/>
    <w:lvl w:ilvl="0">
      <w:start w:val="1"/>
      <w:numFmt w:val="bullet"/>
      <w:lvlText w:val="-"/>
      <w:lvlJc w:val="left"/>
      <w:pPr>
        <w:ind w:left="360" w:hanging="360"/>
      </w:pPr>
      <w:rPr>
        <w:rFonts w:ascii="Sitka Small" w:hAnsi="Sitka Smal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606E18"/>
    <w:multiLevelType w:val="hybridMultilevel"/>
    <w:tmpl w:val="B08C6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F0CA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396C62"/>
    <w:multiLevelType w:val="hybridMultilevel"/>
    <w:tmpl w:val="750AA2BA"/>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2B13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73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CC30C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067719"/>
    <w:multiLevelType w:val="hybridMultilevel"/>
    <w:tmpl w:val="7D42BE2E"/>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734E3B"/>
    <w:multiLevelType w:val="hybridMultilevel"/>
    <w:tmpl w:val="D7D49A9E"/>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356095D"/>
    <w:multiLevelType w:val="hybridMultilevel"/>
    <w:tmpl w:val="B1A0FEF8"/>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90214F8"/>
    <w:multiLevelType w:val="hybridMultilevel"/>
    <w:tmpl w:val="4DECC6CA"/>
    <w:lvl w:ilvl="0" w:tplc="330E2A00">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1A04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DE2F2B"/>
    <w:multiLevelType w:val="hybridMultilevel"/>
    <w:tmpl w:val="00146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0A2F4B"/>
    <w:multiLevelType w:val="hybridMultilevel"/>
    <w:tmpl w:val="22E2B708"/>
    <w:lvl w:ilvl="0" w:tplc="330E2A00">
      <w:start w:val="1"/>
      <w:numFmt w:val="bullet"/>
      <w:lvlText w:val="-"/>
      <w:lvlJc w:val="left"/>
      <w:pPr>
        <w:ind w:left="360" w:hanging="360"/>
      </w:pPr>
      <w:rPr>
        <w:rFonts w:ascii="Sitka Small" w:hAnsi="Sitka Smal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1B3542B"/>
    <w:multiLevelType w:val="hybridMultilevel"/>
    <w:tmpl w:val="9D44D32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69E0BED"/>
    <w:multiLevelType w:val="hybridMultilevel"/>
    <w:tmpl w:val="7CCE79FC"/>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A6F6E96"/>
    <w:multiLevelType w:val="multilevel"/>
    <w:tmpl w:val="8A820180"/>
    <w:lvl w:ilvl="0">
      <w:start w:val="1"/>
      <w:numFmt w:val="bullet"/>
      <w:lvlText w:val="-"/>
      <w:lvlJc w:val="left"/>
      <w:pPr>
        <w:ind w:left="360" w:hanging="360"/>
      </w:pPr>
      <w:rPr>
        <w:rFonts w:ascii="Sitka Small" w:hAnsi="Sitka Smal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6B4C191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B65A5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8761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3849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416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5E60E0"/>
    <w:multiLevelType w:val="hybridMultilevel"/>
    <w:tmpl w:val="9704DFFC"/>
    <w:lvl w:ilvl="0" w:tplc="330E2A00">
      <w:start w:val="1"/>
      <w:numFmt w:val="bullet"/>
      <w:lvlText w:val="-"/>
      <w:lvlJc w:val="left"/>
      <w:pPr>
        <w:ind w:left="360" w:hanging="360"/>
      </w:pPr>
      <w:rPr>
        <w:rFonts w:ascii="Sitka Small" w:hAnsi="Sitka Smal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28D5DF4"/>
    <w:multiLevelType w:val="hybridMultilevel"/>
    <w:tmpl w:val="2B060BC6"/>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60C07B6"/>
    <w:multiLevelType w:val="hybridMultilevel"/>
    <w:tmpl w:val="12221B22"/>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6375C2A"/>
    <w:multiLevelType w:val="hybridMultilevel"/>
    <w:tmpl w:val="E6A6FFC2"/>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CAF2A11"/>
    <w:multiLevelType w:val="hybridMultilevel"/>
    <w:tmpl w:val="32A44144"/>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E623B72"/>
    <w:multiLevelType w:val="hybridMultilevel"/>
    <w:tmpl w:val="93EA24D0"/>
    <w:lvl w:ilvl="0" w:tplc="330E2A00">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FDE310E"/>
    <w:multiLevelType w:val="hybridMultilevel"/>
    <w:tmpl w:val="5EC04A10"/>
    <w:lvl w:ilvl="0" w:tplc="327C48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1"/>
  </w:num>
  <w:num w:numId="4">
    <w:abstractNumId w:val="11"/>
  </w:num>
  <w:num w:numId="5">
    <w:abstractNumId w:val="22"/>
  </w:num>
  <w:num w:numId="6">
    <w:abstractNumId w:val="25"/>
  </w:num>
  <w:num w:numId="7">
    <w:abstractNumId w:val="33"/>
  </w:num>
  <w:num w:numId="8">
    <w:abstractNumId w:val="0"/>
  </w:num>
  <w:num w:numId="9">
    <w:abstractNumId w:val="6"/>
  </w:num>
  <w:num w:numId="10">
    <w:abstractNumId w:val="35"/>
  </w:num>
  <w:num w:numId="11">
    <w:abstractNumId w:val="26"/>
  </w:num>
  <w:num w:numId="12">
    <w:abstractNumId w:val="36"/>
  </w:num>
  <w:num w:numId="13">
    <w:abstractNumId w:val="17"/>
  </w:num>
  <w:num w:numId="14">
    <w:abstractNumId w:val="3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7"/>
  </w:num>
  <w:num w:numId="18">
    <w:abstractNumId w:val="9"/>
  </w:num>
  <w:num w:numId="19">
    <w:abstractNumId w:val="2"/>
  </w:num>
  <w:num w:numId="20">
    <w:abstractNumId w:val="34"/>
  </w:num>
  <w:num w:numId="21">
    <w:abstractNumId w:val="19"/>
  </w:num>
  <w:num w:numId="22">
    <w:abstractNumId w:val="18"/>
  </w:num>
  <w:num w:numId="23">
    <w:abstractNumId w:val="20"/>
  </w:num>
  <w:num w:numId="24">
    <w:abstractNumId w:val="13"/>
  </w:num>
  <w:num w:numId="25">
    <w:abstractNumId w:val="24"/>
  </w:num>
  <w:num w:numId="26">
    <w:abstractNumId w:val="32"/>
  </w:num>
  <w:num w:numId="27">
    <w:abstractNumId w:val="10"/>
  </w:num>
  <w:num w:numId="28">
    <w:abstractNumId w:val="27"/>
  </w:num>
  <w:num w:numId="29">
    <w:abstractNumId w:val="14"/>
  </w:num>
  <w:num w:numId="30">
    <w:abstractNumId w:val="21"/>
  </w:num>
  <w:num w:numId="31">
    <w:abstractNumId w:val="12"/>
  </w:num>
  <w:num w:numId="32">
    <w:abstractNumId w:val="7"/>
  </w:num>
  <w:num w:numId="33">
    <w:abstractNumId w:val="8"/>
  </w:num>
  <w:num w:numId="34">
    <w:abstractNumId w:val="5"/>
  </w:num>
  <w:num w:numId="35">
    <w:abstractNumId w:val="30"/>
  </w:num>
  <w:num w:numId="36">
    <w:abstractNumId w:val="3"/>
  </w:num>
  <w:num w:numId="37">
    <w:abstractNumId w:val="28"/>
  </w:num>
  <w:num w:numId="38">
    <w:abstractNumId w:val="31"/>
  </w:num>
  <w:num w:numId="39">
    <w:abstractNumId w:val="15"/>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10"/>
    <w:rsid w:val="000018E5"/>
    <w:rsid w:val="00004E59"/>
    <w:rsid w:val="000109A5"/>
    <w:rsid w:val="00011A66"/>
    <w:rsid w:val="000159CE"/>
    <w:rsid w:val="00026763"/>
    <w:rsid w:val="00030D93"/>
    <w:rsid w:val="00032498"/>
    <w:rsid w:val="00047991"/>
    <w:rsid w:val="00052C3C"/>
    <w:rsid w:val="00060D0F"/>
    <w:rsid w:val="0006210D"/>
    <w:rsid w:val="00062800"/>
    <w:rsid w:val="0007327E"/>
    <w:rsid w:val="000740E7"/>
    <w:rsid w:val="00075374"/>
    <w:rsid w:val="00087F83"/>
    <w:rsid w:val="00097C5B"/>
    <w:rsid w:val="000A129F"/>
    <w:rsid w:val="000A197B"/>
    <w:rsid w:val="000A71DD"/>
    <w:rsid w:val="000B07B7"/>
    <w:rsid w:val="000B7E87"/>
    <w:rsid w:val="000C13AA"/>
    <w:rsid w:val="000C58B1"/>
    <w:rsid w:val="000C6822"/>
    <w:rsid w:val="000D07A4"/>
    <w:rsid w:val="000D224C"/>
    <w:rsid w:val="000D61E6"/>
    <w:rsid w:val="000E3451"/>
    <w:rsid w:val="000F045F"/>
    <w:rsid w:val="00101B98"/>
    <w:rsid w:val="001062A7"/>
    <w:rsid w:val="00114566"/>
    <w:rsid w:val="0012483E"/>
    <w:rsid w:val="001267DF"/>
    <w:rsid w:val="00132A1E"/>
    <w:rsid w:val="00135C91"/>
    <w:rsid w:val="00143C75"/>
    <w:rsid w:val="00153D72"/>
    <w:rsid w:val="001620D3"/>
    <w:rsid w:val="001751D7"/>
    <w:rsid w:val="00180F0B"/>
    <w:rsid w:val="001877C4"/>
    <w:rsid w:val="001932D5"/>
    <w:rsid w:val="00196D3F"/>
    <w:rsid w:val="001B0344"/>
    <w:rsid w:val="001B2B67"/>
    <w:rsid w:val="001C0138"/>
    <w:rsid w:val="001C07CC"/>
    <w:rsid w:val="001C25BF"/>
    <w:rsid w:val="001C4CB8"/>
    <w:rsid w:val="001C5678"/>
    <w:rsid w:val="001D0A48"/>
    <w:rsid w:val="001E09E6"/>
    <w:rsid w:val="001E159E"/>
    <w:rsid w:val="001E19A1"/>
    <w:rsid w:val="001E296E"/>
    <w:rsid w:val="001E47C0"/>
    <w:rsid w:val="001E4EA2"/>
    <w:rsid w:val="001E5727"/>
    <w:rsid w:val="001F6647"/>
    <w:rsid w:val="00202507"/>
    <w:rsid w:val="00202F7D"/>
    <w:rsid w:val="0023425F"/>
    <w:rsid w:val="002358BC"/>
    <w:rsid w:val="00246FE2"/>
    <w:rsid w:val="00254B7D"/>
    <w:rsid w:val="002618C9"/>
    <w:rsid w:val="002621B2"/>
    <w:rsid w:val="002631AC"/>
    <w:rsid w:val="00266A35"/>
    <w:rsid w:val="002711FD"/>
    <w:rsid w:val="002766B1"/>
    <w:rsid w:val="00287D74"/>
    <w:rsid w:val="002909F9"/>
    <w:rsid w:val="002918E7"/>
    <w:rsid w:val="002B0ACB"/>
    <w:rsid w:val="002C2FCF"/>
    <w:rsid w:val="002D56F5"/>
    <w:rsid w:val="002D6CA0"/>
    <w:rsid w:val="002E1C35"/>
    <w:rsid w:val="002F1F65"/>
    <w:rsid w:val="002F2D0B"/>
    <w:rsid w:val="002F3F5D"/>
    <w:rsid w:val="002F4033"/>
    <w:rsid w:val="002F4F45"/>
    <w:rsid w:val="002F6B76"/>
    <w:rsid w:val="002F6C78"/>
    <w:rsid w:val="002F781F"/>
    <w:rsid w:val="00305553"/>
    <w:rsid w:val="00307EF0"/>
    <w:rsid w:val="00311462"/>
    <w:rsid w:val="00314AF6"/>
    <w:rsid w:val="00321029"/>
    <w:rsid w:val="00324832"/>
    <w:rsid w:val="00326144"/>
    <w:rsid w:val="00333338"/>
    <w:rsid w:val="00337AB5"/>
    <w:rsid w:val="00343E9A"/>
    <w:rsid w:val="0034620C"/>
    <w:rsid w:val="003526B8"/>
    <w:rsid w:val="00364449"/>
    <w:rsid w:val="00366DA7"/>
    <w:rsid w:val="00371010"/>
    <w:rsid w:val="00372C0E"/>
    <w:rsid w:val="00373B69"/>
    <w:rsid w:val="003829D1"/>
    <w:rsid w:val="00385865"/>
    <w:rsid w:val="0039065F"/>
    <w:rsid w:val="003910C9"/>
    <w:rsid w:val="003A5F20"/>
    <w:rsid w:val="003A781F"/>
    <w:rsid w:val="003B3C97"/>
    <w:rsid w:val="003B4A24"/>
    <w:rsid w:val="003B7D4B"/>
    <w:rsid w:val="003B7E70"/>
    <w:rsid w:val="003C0798"/>
    <w:rsid w:val="003C1657"/>
    <w:rsid w:val="003C18F2"/>
    <w:rsid w:val="003C1B3D"/>
    <w:rsid w:val="003C254D"/>
    <w:rsid w:val="003C2967"/>
    <w:rsid w:val="003C765F"/>
    <w:rsid w:val="003D6E52"/>
    <w:rsid w:val="003D6FFF"/>
    <w:rsid w:val="003E36A8"/>
    <w:rsid w:val="003F4127"/>
    <w:rsid w:val="004100A3"/>
    <w:rsid w:val="004119E1"/>
    <w:rsid w:val="0041309F"/>
    <w:rsid w:val="00414246"/>
    <w:rsid w:val="00423630"/>
    <w:rsid w:val="00426A11"/>
    <w:rsid w:val="00426D4F"/>
    <w:rsid w:val="00430B9D"/>
    <w:rsid w:val="00431C0C"/>
    <w:rsid w:val="0043547C"/>
    <w:rsid w:val="004368C4"/>
    <w:rsid w:val="00436AC7"/>
    <w:rsid w:val="00442283"/>
    <w:rsid w:val="004456CD"/>
    <w:rsid w:val="00445B19"/>
    <w:rsid w:val="004532E9"/>
    <w:rsid w:val="00455F47"/>
    <w:rsid w:val="00460BA4"/>
    <w:rsid w:val="00461179"/>
    <w:rsid w:val="004612E1"/>
    <w:rsid w:val="0046713F"/>
    <w:rsid w:val="00467D8B"/>
    <w:rsid w:val="00473746"/>
    <w:rsid w:val="00475C9E"/>
    <w:rsid w:val="00476C15"/>
    <w:rsid w:val="004804EC"/>
    <w:rsid w:val="004827F7"/>
    <w:rsid w:val="00490F89"/>
    <w:rsid w:val="004A00CC"/>
    <w:rsid w:val="004A186E"/>
    <w:rsid w:val="004A4F8E"/>
    <w:rsid w:val="004A6A28"/>
    <w:rsid w:val="004B3546"/>
    <w:rsid w:val="004B35F8"/>
    <w:rsid w:val="004B5D70"/>
    <w:rsid w:val="004C016A"/>
    <w:rsid w:val="004C2FD4"/>
    <w:rsid w:val="004C7E39"/>
    <w:rsid w:val="004D1AF7"/>
    <w:rsid w:val="004D5E3F"/>
    <w:rsid w:val="004E2DAA"/>
    <w:rsid w:val="004F052F"/>
    <w:rsid w:val="004F0D14"/>
    <w:rsid w:val="004F15F4"/>
    <w:rsid w:val="004F29F6"/>
    <w:rsid w:val="004F3FDC"/>
    <w:rsid w:val="00503686"/>
    <w:rsid w:val="0050559B"/>
    <w:rsid w:val="00506A05"/>
    <w:rsid w:val="00507F63"/>
    <w:rsid w:val="00525C55"/>
    <w:rsid w:val="005300F9"/>
    <w:rsid w:val="00533A15"/>
    <w:rsid w:val="005353E7"/>
    <w:rsid w:val="00542C34"/>
    <w:rsid w:val="005435A1"/>
    <w:rsid w:val="0054365A"/>
    <w:rsid w:val="00552199"/>
    <w:rsid w:val="005544DE"/>
    <w:rsid w:val="00557C3A"/>
    <w:rsid w:val="00560238"/>
    <w:rsid w:val="00560761"/>
    <w:rsid w:val="00564649"/>
    <w:rsid w:val="005663C6"/>
    <w:rsid w:val="0057238C"/>
    <w:rsid w:val="00575278"/>
    <w:rsid w:val="00575815"/>
    <w:rsid w:val="0058308F"/>
    <w:rsid w:val="00586A60"/>
    <w:rsid w:val="00592B52"/>
    <w:rsid w:val="005A0E89"/>
    <w:rsid w:val="005A6A00"/>
    <w:rsid w:val="005A7F32"/>
    <w:rsid w:val="005B4FA1"/>
    <w:rsid w:val="005B53B6"/>
    <w:rsid w:val="005C33DC"/>
    <w:rsid w:val="005C7CC1"/>
    <w:rsid w:val="005D3A2E"/>
    <w:rsid w:val="005F4505"/>
    <w:rsid w:val="005F5979"/>
    <w:rsid w:val="006033A7"/>
    <w:rsid w:val="00605C1D"/>
    <w:rsid w:val="006137DF"/>
    <w:rsid w:val="00615D0D"/>
    <w:rsid w:val="00616F39"/>
    <w:rsid w:val="0062369B"/>
    <w:rsid w:val="006242E5"/>
    <w:rsid w:val="00627051"/>
    <w:rsid w:val="00630BE7"/>
    <w:rsid w:val="00631B36"/>
    <w:rsid w:val="00632967"/>
    <w:rsid w:val="00640805"/>
    <w:rsid w:val="0064775A"/>
    <w:rsid w:val="006478EC"/>
    <w:rsid w:val="006554C7"/>
    <w:rsid w:val="0065577C"/>
    <w:rsid w:val="00657808"/>
    <w:rsid w:val="0066310E"/>
    <w:rsid w:val="00667821"/>
    <w:rsid w:val="006720CC"/>
    <w:rsid w:val="0067395A"/>
    <w:rsid w:val="0067593E"/>
    <w:rsid w:val="006821AD"/>
    <w:rsid w:val="0068611A"/>
    <w:rsid w:val="00691C98"/>
    <w:rsid w:val="006A3324"/>
    <w:rsid w:val="006A4328"/>
    <w:rsid w:val="006A4E5C"/>
    <w:rsid w:val="006B3DF9"/>
    <w:rsid w:val="006B68D0"/>
    <w:rsid w:val="006B7DF9"/>
    <w:rsid w:val="006C21DD"/>
    <w:rsid w:val="006C636D"/>
    <w:rsid w:val="006D19FF"/>
    <w:rsid w:val="006D7A95"/>
    <w:rsid w:val="006E3B49"/>
    <w:rsid w:val="006F54A0"/>
    <w:rsid w:val="006F6BB0"/>
    <w:rsid w:val="007023F4"/>
    <w:rsid w:val="00702F6A"/>
    <w:rsid w:val="00704F3B"/>
    <w:rsid w:val="00712A4F"/>
    <w:rsid w:val="00716C5C"/>
    <w:rsid w:val="0072572E"/>
    <w:rsid w:val="00731BD9"/>
    <w:rsid w:val="00740D17"/>
    <w:rsid w:val="00742CA2"/>
    <w:rsid w:val="007442C7"/>
    <w:rsid w:val="00753147"/>
    <w:rsid w:val="0075365B"/>
    <w:rsid w:val="00756228"/>
    <w:rsid w:val="00762AE2"/>
    <w:rsid w:val="00766D13"/>
    <w:rsid w:val="007732C4"/>
    <w:rsid w:val="0077363F"/>
    <w:rsid w:val="007738C9"/>
    <w:rsid w:val="00787CCA"/>
    <w:rsid w:val="00791829"/>
    <w:rsid w:val="00792005"/>
    <w:rsid w:val="007A3189"/>
    <w:rsid w:val="007A3AF3"/>
    <w:rsid w:val="007A69E7"/>
    <w:rsid w:val="007A77EC"/>
    <w:rsid w:val="007B2F7A"/>
    <w:rsid w:val="007B3852"/>
    <w:rsid w:val="007C1944"/>
    <w:rsid w:val="007C6287"/>
    <w:rsid w:val="007C63D4"/>
    <w:rsid w:val="007D640E"/>
    <w:rsid w:val="007E1D0F"/>
    <w:rsid w:val="007E3FAB"/>
    <w:rsid w:val="007F3439"/>
    <w:rsid w:val="00803B47"/>
    <w:rsid w:val="008150CF"/>
    <w:rsid w:val="008175CB"/>
    <w:rsid w:val="00825496"/>
    <w:rsid w:val="00825F38"/>
    <w:rsid w:val="00830EF7"/>
    <w:rsid w:val="0083292A"/>
    <w:rsid w:val="008334C9"/>
    <w:rsid w:val="008430E9"/>
    <w:rsid w:val="00843155"/>
    <w:rsid w:val="00844D18"/>
    <w:rsid w:val="00852E53"/>
    <w:rsid w:val="00857DAB"/>
    <w:rsid w:val="00882A2F"/>
    <w:rsid w:val="00883B31"/>
    <w:rsid w:val="00895212"/>
    <w:rsid w:val="008A3F5B"/>
    <w:rsid w:val="008A6773"/>
    <w:rsid w:val="008A6D0E"/>
    <w:rsid w:val="008A6D38"/>
    <w:rsid w:val="008B04A6"/>
    <w:rsid w:val="008C00FD"/>
    <w:rsid w:val="008C134C"/>
    <w:rsid w:val="008C5BB1"/>
    <w:rsid w:val="008D5226"/>
    <w:rsid w:val="008D5FD6"/>
    <w:rsid w:val="008E53A0"/>
    <w:rsid w:val="008F7A26"/>
    <w:rsid w:val="008F7F28"/>
    <w:rsid w:val="00900808"/>
    <w:rsid w:val="00901CA0"/>
    <w:rsid w:val="00912187"/>
    <w:rsid w:val="009129FE"/>
    <w:rsid w:val="00914664"/>
    <w:rsid w:val="009149DD"/>
    <w:rsid w:val="00914FD9"/>
    <w:rsid w:val="009175DF"/>
    <w:rsid w:val="00922559"/>
    <w:rsid w:val="00922BE9"/>
    <w:rsid w:val="00931284"/>
    <w:rsid w:val="009323D6"/>
    <w:rsid w:val="009343ED"/>
    <w:rsid w:val="00937AD6"/>
    <w:rsid w:val="00937EAA"/>
    <w:rsid w:val="00941563"/>
    <w:rsid w:val="00941C74"/>
    <w:rsid w:val="00944EEF"/>
    <w:rsid w:val="00945F2E"/>
    <w:rsid w:val="00951BFC"/>
    <w:rsid w:val="00960BAE"/>
    <w:rsid w:val="0097331D"/>
    <w:rsid w:val="00974336"/>
    <w:rsid w:val="00974C86"/>
    <w:rsid w:val="00975A0D"/>
    <w:rsid w:val="009761B5"/>
    <w:rsid w:val="00976F32"/>
    <w:rsid w:val="009776A5"/>
    <w:rsid w:val="00977FD4"/>
    <w:rsid w:val="009800B1"/>
    <w:rsid w:val="00981ED8"/>
    <w:rsid w:val="009824F9"/>
    <w:rsid w:val="00992C19"/>
    <w:rsid w:val="0099680F"/>
    <w:rsid w:val="009B23A5"/>
    <w:rsid w:val="009B25F4"/>
    <w:rsid w:val="009B37B2"/>
    <w:rsid w:val="009B3AE4"/>
    <w:rsid w:val="009B4CB3"/>
    <w:rsid w:val="009C4447"/>
    <w:rsid w:val="009D0810"/>
    <w:rsid w:val="009D1D36"/>
    <w:rsid w:val="009E2AB6"/>
    <w:rsid w:val="009E76EC"/>
    <w:rsid w:val="009F139F"/>
    <w:rsid w:val="009F3DD6"/>
    <w:rsid w:val="00A01065"/>
    <w:rsid w:val="00A0671B"/>
    <w:rsid w:val="00A07568"/>
    <w:rsid w:val="00A1242B"/>
    <w:rsid w:val="00A255C9"/>
    <w:rsid w:val="00A26B64"/>
    <w:rsid w:val="00A3109D"/>
    <w:rsid w:val="00A41B71"/>
    <w:rsid w:val="00A4204C"/>
    <w:rsid w:val="00A43DC3"/>
    <w:rsid w:val="00A47382"/>
    <w:rsid w:val="00A47B05"/>
    <w:rsid w:val="00A529CB"/>
    <w:rsid w:val="00A52ECD"/>
    <w:rsid w:val="00A57B7D"/>
    <w:rsid w:val="00A6189D"/>
    <w:rsid w:val="00A62352"/>
    <w:rsid w:val="00A66A81"/>
    <w:rsid w:val="00A723E6"/>
    <w:rsid w:val="00A74161"/>
    <w:rsid w:val="00A90EC3"/>
    <w:rsid w:val="00A9177A"/>
    <w:rsid w:val="00A917A8"/>
    <w:rsid w:val="00A952C0"/>
    <w:rsid w:val="00A972C0"/>
    <w:rsid w:val="00AA04DD"/>
    <w:rsid w:val="00AA0F4B"/>
    <w:rsid w:val="00AA1C4C"/>
    <w:rsid w:val="00AA30C8"/>
    <w:rsid w:val="00AA6CF5"/>
    <w:rsid w:val="00AA6F2E"/>
    <w:rsid w:val="00AB5958"/>
    <w:rsid w:val="00AB5B40"/>
    <w:rsid w:val="00AB6243"/>
    <w:rsid w:val="00AC08FD"/>
    <w:rsid w:val="00AC3D3D"/>
    <w:rsid w:val="00AC4F70"/>
    <w:rsid w:val="00AC76EF"/>
    <w:rsid w:val="00AD76F5"/>
    <w:rsid w:val="00AD7CD3"/>
    <w:rsid w:val="00AE0B9F"/>
    <w:rsid w:val="00AE1170"/>
    <w:rsid w:val="00AE3B01"/>
    <w:rsid w:val="00AE43A3"/>
    <w:rsid w:val="00AE48D5"/>
    <w:rsid w:val="00AF0648"/>
    <w:rsid w:val="00AF2D90"/>
    <w:rsid w:val="00AF50C3"/>
    <w:rsid w:val="00AF7844"/>
    <w:rsid w:val="00B00620"/>
    <w:rsid w:val="00B011F6"/>
    <w:rsid w:val="00B04335"/>
    <w:rsid w:val="00B11019"/>
    <w:rsid w:val="00B121A0"/>
    <w:rsid w:val="00B125C6"/>
    <w:rsid w:val="00B37334"/>
    <w:rsid w:val="00B379C3"/>
    <w:rsid w:val="00B4146F"/>
    <w:rsid w:val="00B44492"/>
    <w:rsid w:val="00B44F3F"/>
    <w:rsid w:val="00B52943"/>
    <w:rsid w:val="00B54E80"/>
    <w:rsid w:val="00B6026E"/>
    <w:rsid w:val="00B62DBA"/>
    <w:rsid w:val="00B64027"/>
    <w:rsid w:val="00B731AB"/>
    <w:rsid w:val="00B7530D"/>
    <w:rsid w:val="00B812C0"/>
    <w:rsid w:val="00B81876"/>
    <w:rsid w:val="00B81A1E"/>
    <w:rsid w:val="00B86172"/>
    <w:rsid w:val="00B90F76"/>
    <w:rsid w:val="00BA2487"/>
    <w:rsid w:val="00BA7177"/>
    <w:rsid w:val="00BA7277"/>
    <w:rsid w:val="00BB28DC"/>
    <w:rsid w:val="00BC74BF"/>
    <w:rsid w:val="00BC7AE9"/>
    <w:rsid w:val="00BD106D"/>
    <w:rsid w:val="00BD70FF"/>
    <w:rsid w:val="00BE77C4"/>
    <w:rsid w:val="00BF0591"/>
    <w:rsid w:val="00BF5368"/>
    <w:rsid w:val="00C1618B"/>
    <w:rsid w:val="00C237E8"/>
    <w:rsid w:val="00C23FDD"/>
    <w:rsid w:val="00C3237F"/>
    <w:rsid w:val="00C34ED0"/>
    <w:rsid w:val="00C4480C"/>
    <w:rsid w:val="00C45DFF"/>
    <w:rsid w:val="00C46112"/>
    <w:rsid w:val="00C52ED7"/>
    <w:rsid w:val="00C5596B"/>
    <w:rsid w:val="00C56EE2"/>
    <w:rsid w:val="00C608AE"/>
    <w:rsid w:val="00C60C2D"/>
    <w:rsid w:val="00C62EE8"/>
    <w:rsid w:val="00C8336F"/>
    <w:rsid w:val="00C83770"/>
    <w:rsid w:val="00C94096"/>
    <w:rsid w:val="00C946F4"/>
    <w:rsid w:val="00C97A41"/>
    <w:rsid w:val="00CA309D"/>
    <w:rsid w:val="00CA4DFF"/>
    <w:rsid w:val="00CB00D9"/>
    <w:rsid w:val="00CB4E8B"/>
    <w:rsid w:val="00CB7422"/>
    <w:rsid w:val="00CB7AD0"/>
    <w:rsid w:val="00CC1C52"/>
    <w:rsid w:val="00CC31D7"/>
    <w:rsid w:val="00CD2C28"/>
    <w:rsid w:val="00CD4A7A"/>
    <w:rsid w:val="00CD612E"/>
    <w:rsid w:val="00CD7731"/>
    <w:rsid w:val="00CE0AE1"/>
    <w:rsid w:val="00CE539C"/>
    <w:rsid w:val="00CF3341"/>
    <w:rsid w:val="00D00913"/>
    <w:rsid w:val="00D0462E"/>
    <w:rsid w:val="00D101FB"/>
    <w:rsid w:val="00D1103B"/>
    <w:rsid w:val="00D13AE0"/>
    <w:rsid w:val="00D30E1D"/>
    <w:rsid w:val="00D44AD7"/>
    <w:rsid w:val="00D4745C"/>
    <w:rsid w:val="00D55118"/>
    <w:rsid w:val="00D55ECE"/>
    <w:rsid w:val="00D57ABE"/>
    <w:rsid w:val="00D67539"/>
    <w:rsid w:val="00D71950"/>
    <w:rsid w:val="00D71B90"/>
    <w:rsid w:val="00D722FE"/>
    <w:rsid w:val="00D75829"/>
    <w:rsid w:val="00D819AB"/>
    <w:rsid w:val="00D85927"/>
    <w:rsid w:val="00D85A6E"/>
    <w:rsid w:val="00DA24C7"/>
    <w:rsid w:val="00DA3F58"/>
    <w:rsid w:val="00DA53CD"/>
    <w:rsid w:val="00DB07EB"/>
    <w:rsid w:val="00DB08E5"/>
    <w:rsid w:val="00DB4BBD"/>
    <w:rsid w:val="00DB62B0"/>
    <w:rsid w:val="00DB6B1C"/>
    <w:rsid w:val="00DC0447"/>
    <w:rsid w:val="00DC0A94"/>
    <w:rsid w:val="00DC4B6D"/>
    <w:rsid w:val="00DC5E91"/>
    <w:rsid w:val="00DD13A7"/>
    <w:rsid w:val="00DE70F4"/>
    <w:rsid w:val="00DE7FDC"/>
    <w:rsid w:val="00DF04E3"/>
    <w:rsid w:val="00DF1DDA"/>
    <w:rsid w:val="00E06C04"/>
    <w:rsid w:val="00E11FAC"/>
    <w:rsid w:val="00E14105"/>
    <w:rsid w:val="00E17EAE"/>
    <w:rsid w:val="00E216DA"/>
    <w:rsid w:val="00E31528"/>
    <w:rsid w:val="00E328B1"/>
    <w:rsid w:val="00E4074F"/>
    <w:rsid w:val="00E42466"/>
    <w:rsid w:val="00E428BD"/>
    <w:rsid w:val="00E435D0"/>
    <w:rsid w:val="00E46BF3"/>
    <w:rsid w:val="00E54EDD"/>
    <w:rsid w:val="00E619D2"/>
    <w:rsid w:val="00E670F1"/>
    <w:rsid w:val="00E72654"/>
    <w:rsid w:val="00E732A8"/>
    <w:rsid w:val="00E74242"/>
    <w:rsid w:val="00E827C7"/>
    <w:rsid w:val="00E97E2B"/>
    <w:rsid w:val="00EA2450"/>
    <w:rsid w:val="00EA4DED"/>
    <w:rsid w:val="00EA7B8A"/>
    <w:rsid w:val="00EB2FFA"/>
    <w:rsid w:val="00EB4420"/>
    <w:rsid w:val="00EB5ECA"/>
    <w:rsid w:val="00EB6356"/>
    <w:rsid w:val="00EC202B"/>
    <w:rsid w:val="00EC29A3"/>
    <w:rsid w:val="00EC324B"/>
    <w:rsid w:val="00EC3347"/>
    <w:rsid w:val="00EC58B9"/>
    <w:rsid w:val="00EC61A8"/>
    <w:rsid w:val="00EE0449"/>
    <w:rsid w:val="00EE7D6D"/>
    <w:rsid w:val="00EF5C25"/>
    <w:rsid w:val="00F01208"/>
    <w:rsid w:val="00F017EC"/>
    <w:rsid w:val="00F06119"/>
    <w:rsid w:val="00F070AA"/>
    <w:rsid w:val="00F12B7C"/>
    <w:rsid w:val="00F12EDE"/>
    <w:rsid w:val="00F161AA"/>
    <w:rsid w:val="00F27359"/>
    <w:rsid w:val="00F33754"/>
    <w:rsid w:val="00F413E1"/>
    <w:rsid w:val="00F41C4B"/>
    <w:rsid w:val="00F434D9"/>
    <w:rsid w:val="00F442F3"/>
    <w:rsid w:val="00F44497"/>
    <w:rsid w:val="00F5774C"/>
    <w:rsid w:val="00F64280"/>
    <w:rsid w:val="00F64DC0"/>
    <w:rsid w:val="00F67DF0"/>
    <w:rsid w:val="00F80D69"/>
    <w:rsid w:val="00F81C7C"/>
    <w:rsid w:val="00F831F0"/>
    <w:rsid w:val="00F841CF"/>
    <w:rsid w:val="00F84ADD"/>
    <w:rsid w:val="00F92CF0"/>
    <w:rsid w:val="00F94E72"/>
    <w:rsid w:val="00F96483"/>
    <w:rsid w:val="00F96ECD"/>
    <w:rsid w:val="00FA3262"/>
    <w:rsid w:val="00FA4527"/>
    <w:rsid w:val="00FA4926"/>
    <w:rsid w:val="00FC33EE"/>
    <w:rsid w:val="00FC3639"/>
    <w:rsid w:val="00FC72CF"/>
    <w:rsid w:val="00FC7841"/>
    <w:rsid w:val="00FD069F"/>
    <w:rsid w:val="00FD4E90"/>
    <w:rsid w:val="00FD6A0E"/>
    <w:rsid w:val="00FF5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451"/>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rsid w:val="008C134C"/>
    <w:pPr>
      <w:ind w:left="1497"/>
    </w:pPr>
  </w:style>
  <w:style w:type="paragraph" w:customStyle="1" w:styleId="ZTIRwPKTzmtirwpktartykuempunktem">
    <w:name w:val="Z/TIR_w_PKT – zm. tir. w pkt artykułem (punktem)"/>
    <w:basedOn w:val="TIRtiret"/>
    <w:uiPriority w:val="99"/>
    <w:rsid w:val="008C134C"/>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8C134C"/>
    <w:pPr>
      <w:ind w:left="1021"/>
    </w:pPr>
  </w:style>
  <w:style w:type="paragraph" w:customStyle="1" w:styleId="2TIRpodwjnytiret">
    <w:name w:val="2TIR – podwójny tiret"/>
    <w:basedOn w:val="TIRtiret"/>
    <w:uiPriority w:val="99"/>
    <w:rsid w:val="008C134C"/>
    <w:pPr>
      <w:ind w:left="1780"/>
    </w:pPr>
  </w:style>
  <w:style w:type="paragraph" w:customStyle="1" w:styleId="ARTartustawynprozporzdzenia">
    <w:name w:val="ART(§) – art. ustawy (§ np. rozporządzenia)"/>
    <w:uiPriority w:val="11"/>
    <w:qFormat/>
    <w:rsid w:val="008C134C"/>
    <w:pPr>
      <w:suppressAutoHyphens/>
      <w:autoSpaceDE w:val="0"/>
      <w:autoSpaceDN w:val="0"/>
      <w:adjustRightInd w:val="0"/>
      <w:spacing w:before="120"/>
      <w:ind w:firstLine="510"/>
      <w:jc w:val="both"/>
    </w:pPr>
    <w:rPr>
      <w:rFonts w:eastAsia="Times New Roman" w:cs="Arial"/>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8C134C"/>
    <w:pPr>
      <w:ind w:left="1497"/>
    </w:pPr>
  </w:style>
  <w:style w:type="paragraph" w:customStyle="1" w:styleId="ZTIRwLITzmtirwlitartykuempunktem">
    <w:name w:val="Z/TIR_w_LIT – zm. tir. w lit. artykułem (punktem)"/>
    <w:basedOn w:val="TIRtiret"/>
    <w:uiPriority w:val="99"/>
    <w:rsid w:val="008C134C"/>
  </w:style>
  <w:style w:type="paragraph" w:customStyle="1" w:styleId="ZCZWSPTIRwLITzmczciwsptirwlitartykuempunktem">
    <w:name w:val="Z/CZ_WSP_TIR_w_LIT – zm. części wsp. tir. w lit. artykułem (punktem)"/>
    <w:basedOn w:val="CZWSPTIRczwsplnatiret"/>
    <w:next w:val="ZLITzmlitartykuempunktem"/>
    <w:uiPriority w:val="99"/>
    <w:rsid w:val="008C134C"/>
  </w:style>
  <w:style w:type="paragraph" w:customStyle="1" w:styleId="ZPKTzmpktartykuempunktem">
    <w:name w:val="Z/PKT – zm. pkt artykułem (punktem)"/>
    <w:basedOn w:val="PKTpunkt"/>
    <w:uiPriority w:val="99"/>
    <w:rsid w:val="008C134C"/>
    <w:pPr>
      <w:ind w:left="1020"/>
    </w:pPr>
  </w:style>
  <w:style w:type="paragraph" w:customStyle="1" w:styleId="ZARTzmartartykuempunktem">
    <w:name w:val="Z/ART(§) – zm. art. (§) artykułem (punktem)"/>
    <w:basedOn w:val="ARTartustawynprozporzdzenia"/>
    <w:uiPriority w:val="99"/>
    <w:rsid w:val="008C134C"/>
    <w:pPr>
      <w:spacing w:before="0"/>
      <w:ind w:left="510"/>
    </w:pPr>
  </w:style>
  <w:style w:type="paragraph" w:customStyle="1" w:styleId="DATAAKTUdatauchwalenialubwydaniaaktu">
    <w:name w:val="DATA_AKTU – data uchwalenia lub wydania aktu"/>
    <w:next w:val="TYTUAKTUprzedmiotregulacjiustawylubrozporzdzenia"/>
    <w:uiPriority w:val="99"/>
    <w:rsid w:val="008C134C"/>
    <w:pPr>
      <w:keepNext/>
      <w:suppressAutoHyphens/>
      <w:spacing w:before="120" w:after="120"/>
      <w:jc w:val="center"/>
    </w:pPr>
    <w:rPr>
      <w:rFonts w:eastAsia="Times New Roman" w:cs="Arial"/>
      <w:bCs/>
      <w:lang w:eastAsia="en-US"/>
    </w:rPr>
  </w:style>
  <w:style w:type="paragraph" w:customStyle="1" w:styleId="TYTUAKTUprzedmiotregulacjiustawylubrozporzdzenia">
    <w:name w:val="TYTUŁ_AKTU – przedmiot regulacji ustawy lub rozporządzenia"/>
    <w:next w:val="ARTartustawynprozporzdzenia"/>
    <w:uiPriority w:val="99"/>
    <w:rsid w:val="008C134C"/>
    <w:pPr>
      <w:keepNext/>
      <w:suppressAutoHyphens/>
      <w:spacing w:before="120" w:after="360"/>
      <w:jc w:val="center"/>
    </w:pPr>
    <w:rPr>
      <w:rFonts w:eastAsia="Times New Roman" w:cs="Arial"/>
      <w:b/>
      <w:bCs/>
      <w:lang w:eastAsia="en-US"/>
    </w:rPr>
  </w:style>
  <w:style w:type="paragraph" w:customStyle="1" w:styleId="CZKSIGAoznaczenieiprzedmiotczcilubksigi">
    <w:name w:val="CZĘŚĆ(KSIĘGA) – oznaczenie i przedmiot części lub księgi"/>
    <w:next w:val="ARTartustawynprozporzdzenia"/>
    <w:uiPriority w:val="99"/>
    <w:rsid w:val="008C134C"/>
    <w:pPr>
      <w:keepNext/>
      <w:suppressAutoHyphens/>
      <w:spacing w:before="120"/>
      <w:jc w:val="center"/>
    </w:pPr>
    <w:rPr>
      <w:b/>
      <w:bCs/>
      <w:caps/>
      <w:kern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8C134C"/>
    <w:rPr>
      <w:bCs/>
    </w:rPr>
  </w:style>
  <w:style w:type="paragraph" w:customStyle="1" w:styleId="OZNRODZAKTUtznustawalubrozporzdzenieiorganwydajcy">
    <w:name w:val="OZN_RODZ_AKTU – tzn. ustawa lub rozporządzenie i organ wydający"/>
    <w:next w:val="Normalny"/>
    <w:uiPriority w:val="99"/>
    <w:rsid w:val="004368C4"/>
    <w:pPr>
      <w:keepNext/>
      <w:suppressAutoHyphens/>
      <w:spacing w:after="120" w:line="360" w:lineRule="auto"/>
      <w:jc w:val="center"/>
    </w:pPr>
    <w:rPr>
      <w:rFonts w:ascii="Times" w:hAnsi="Times"/>
      <w:b/>
      <w:bCs/>
      <w:caps/>
      <w:spacing w:val="54"/>
      <w:kern w:val="24"/>
      <w:sz w:val="24"/>
      <w:szCs w:val="24"/>
    </w:rPr>
  </w:style>
  <w:style w:type="paragraph" w:customStyle="1" w:styleId="USTustnpkodeksu">
    <w:name w:val="UST(§) – ust. (§ np. kodeksu)"/>
    <w:basedOn w:val="ARTartustawynprozporzdzenia"/>
    <w:uiPriority w:val="12"/>
    <w:qFormat/>
    <w:rsid w:val="008C134C"/>
    <w:pPr>
      <w:spacing w:before="0"/>
    </w:pPr>
    <w:rPr>
      <w:bCs/>
    </w:rPr>
  </w:style>
  <w:style w:type="paragraph" w:customStyle="1" w:styleId="PKTpunkt">
    <w:name w:val="PKT – punkt"/>
    <w:uiPriority w:val="99"/>
    <w:rsid w:val="008C134C"/>
    <w:pPr>
      <w:ind w:left="510" w:hanging="510"/>
      <w:jc w:val="both"/>
    </w:pPr>
    <w:rPr>
      <w:rFonts w:eastAsia="Times New Roman" w:cs="Arial"/>
      <w:bCs/>
      <w:lang w:eastAsia="en-US"/>
    </w:rPr>
  </w:style>
  <w:style w:type="paragraph" w:customStyle="1" w:styleId="CZWSPPKTczwsplnapunktw">
    <w:name w:val="CZ_WSP_PKT – część wspólna punktów"/>
    <w:basedOn w:val="PKTpunkt"/>
    <w:next w:val="USTustnpkodeksu"/>
    <w:uiPriority w:val="99"/>
    <w:rsid w:val="008C134C"/>
    <w:pPr>
      <w:ind w:left="0" w:firstLine="0"/>
    </w:pPr>
  </w:style>
  <w:style w:type="paragraph" w:customStyle="1" w:styleId="LITlitera">
    <w:name w:val="LIT – litera"/>
    <w:basedOn w:val="PKTpunkt"/>
    <w:uiPriority w:val="99"/>
    <w:rsid w:val="008C134C"/>
    <w:pPr>
      <w:ind w:left="986" w:hanging="476"/>
    </w:pPr>
  </w:style>
  <w:style w:type="paragraph" w:customStyle="1" w:styleId="CZWSPLITczwsplnaliter">
    <w:name w:val="CZ_WSP_LIT – część wspólna liter"/>
    <w:basedOn w:val="LITlitera"/>
    <w:next w:val="USTustnpkodeksu"/>
    <w:uiPriority w:val="99"/>
    <w:rsid w:val="008C134C"/>
    <w:pPr>
      <w:ind w:left="510" w:firstLine="0"/>
    </w:pPr>
    <w:rPr>
      <w:szCs w:val="24"/>
    </w:rPr>
  </w:style>
  <w:style w:type="paragraph" w:customStyle="1" w:styleId="TIRtiret">
    <w:name w:val="TIR – tiret"/>
    <w:basedOn w:val="LITlitera"/>
    <w:uiPriority w:val="99"/>
    <w:rsid w:val="008C134C"/>
    <w:pPr>
      <w:ind w:left="1384" w:hanging="397"/>
    </w:pPr>
  </w:style>
  <w:style w:type="paragraph" w:customStyle="1" w:styleId="CZWSPTIRczwsplnatiret">
    <w:name w:val="CZ_WSP_TIR – część wspólna tiret"/>
    <w:basedOn w:val="TIRtiret"/>
    <w:next w:val="USTustnpkodeksu"/>
    <w:uiPriority w:val="99"/>
    <w:rsid w:val="008C134C"/>
    <w:pPr>
      <w:ind w:left="987" w:firstLine="0"/>
    </w:pPr>
  </w:style>
  <w:style w:type="paragraph" w:customStyle="1" w:styleId="CYTcytatnpprzysigi">
    <w:name w:val="CYT – cytat np. przysięgi"/>
    <w:basedOn w:val="USTustnpkodeksu"/>
    <w:next w:val="USTustnpkodeksu"/>
    <w:uiPriority w:val="99"/>
    <w:rsid w:val="008C13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8C134C"/>
    <w:pPr>
      <w:keepNext/>
      <w:suppressAutoHyphens/>
      <w:spacing w:before="120"/>
      <w:jc w:val="center"/>
    </w:pPr>
    <w:rPr>
      <w:rFonts w:eastAsia="Times New Roman"/>
      <w:b/>
      <w:bCs/>
      <w:lang w:eastAsia="en-US"/>
    </w:rPr>
  </w:style>
  <w:style w:type="paragraph" w:customStyle="1" w:styleId="ZLITzmlitartykuempunktem">
    <w:name w:val="Z/LIT – zm. lit. artykułem (punktem)"/>
    <w:basedOn w:val="LITlitera"/>
    <w:uiPriority w:val="99"/>
    <w:rsid w:val="008C134C"/>
  </w:style>
  <w:style w:type="paragraph" w:customStyle="1" w:styleId="ZLITCZWSPTIRwLITzmczciwsptirwlitliter">
    <w:name w:val="Z_LIT/CZ_WSP_TIR_w_LIT – zm. części wsp. tir. w lit. literą"/>
    <w:basedOn w:val="CZWSPTIRczwsplnatiret"/>
    <w:next w:val="LITlitera"/>
    <w:uiPriority w:val="99"/>
    <w:rsid w:val="008C134C"/>
    <w:pPr>
      <w:ind w:left="1463"/>
    </w:pPr>
  </w:style>
  <w:style w:type="paragraph" w:customStyle="1" w:styleId="ZLITTIRwLITzmtirwlitliter">
    <w:name w:val="Z_LIT/TIR_w_LIT – zm. tir. w lit. literą"/>
    <w:basedOn w:val="TIRtiret"/>
    <w:uiPriority w:val="99"/>
    <w:rsid w:val="008C134C"/>
    <w:pPr>
      <w:ind w:left="1860"/>
    </w:pPr>
  </w:style>
  <w:style w:type="paragraph" w:customStyle="1" w:styleId="TYTDZOZNoznaczenietytuulubdziau">
    <w:name w:val="TYT(DZ)_OZN – oznaczenie tytułu lub działu"/>
    <w:next w:val="Normalny"/>
    <w:uiPriority w:val="99"/>
    <w:rsid w:val="008C134C"/>
    <w:pPr>
      <w:keepNext/>
      <w:spacing w:before="120"/>
      <w:jc w:val="center"/>
    </w:pPr>
    <w:rPr>
      <w:rFonts w:eastAsia="Times New Roman" w:cs="Arial"/>
      <w:bCs/>
      <w:caps/>
      <w:kern w:val="24"/>
      <w:lang w:eastAsia="en-US"/>
    </w:rPr>
  </w:style>
  <w:style w:type="paragraph" w:customStyle="1" w:styleId="ZWMATFIZCHEMzmwzorumatfizlubchemartykuempunktem">
    <w:name w:val="Z/W_MAT(FIZ|CHEM) – zm. wzoru mat. (fiz. lub chem.) artykułem (punktem)"/>
    <w:basedOn w:val="WMATFIZCHEMwzrmatfizlubchem"/>
    <w:uiPriority w:val="99"/>
    <w:rsid w:val="008C134C"/>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8C13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8C134C"/>
    <w:pPr>
      <w:keepNext/>
      <w:suppressAutoHyphens/>
      <w:ind w:left="510"/>
      <w:jc w:val="center"/>
    </w:pPr>
    <w:rPr>
      <w:szCs w:val="26"/>
      <w:lang w:eastAsia="en-US"/>
    </w:rPr>
  </w:style>
  <w:style w:type="paragraph" w:customStyle="1" w:styleId="ZTIRzmtirartykuempunktem">
    <w:name w:val="Z/TIR – zm. tir. artykułem (punktem)"/>
    <w:basedOn w:val="TIRtiret"/>
    <w:next w:val="PKTpunkt"/>
    <w:uiPriority w:val="99"/>
    <w:rsid w:val="008C134C"/>
    <w:pPr>
      <w:ind w:left="907"/>
    </w:pPr>
  </w:style>
  <w:style w:type="paragraph" w:customStyle="1" w:styleId="ZCZWSPPKTzmczciwsppktartykuempunktem">
    <w:name w:val="Z/CZ_WSP_PKT – zm. części wsp. pkt artykułem (punktem)"/>
    <w:basedOn w:val="CZWSPPKTczwsplnapunktw"/>
    <w:next w:val="ZARTzmartartykuempunktem"/>
    <w:uiPriority w:val="99"/>
    <w:rsid w:val="008C134C"/>
    <w:pPr>
      <w:ind w:left="510"/>
    </w:pPr>
  </w:style>
  <w:style w:type="paragraph" w:customStyle="1" w:styleId="ZZLITzmianazmlit">
    <w:name w:val="ZZ/LIT – zmiana zm. lit."/>
    <w:basedOn w:val="ZZPKTzmianazmpkt"/>
    <w:uiPriority w:val="99"/>
    <w:rsid w:val="008C134C"/>
    <w:pPr>
      <w:ind w:left="2370" w:hanging="476"/>
    </w:pPr>
  </w:style>
  <w:style w:type="paragraph" w:customStyle="1" w:styleId="ZZTIRzmianazmtir">
    <w:name w:val="ZZ/TIR – zmiana zm. tir."/>
    <w:basedOn w:val="ZZLITzmianazmlit"/>
    <w:uiPriority w:val="99"/>
    <w:rsid w:val="008C13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8C134C"/>
    <w:pPr>
      <w:keepNext/>
      <w:suppressAutoHyphens/>
      <w:ind w:left="510"/>
      <w:jc w:val="center"/>
    </w:pPr>
    <w:rPr>
      <w:rFonts w:eastAsia="Times New Roman" w:cs="Arial"/>
      <w:bCs/>
      <w:kern w:val="24"/>
      <w:lang w:eastAsia="en-US"/>
    </w:rPr>
  </w:style>
  <w:style w:type="paragraph" w:customStyle="1" w:styleId="ZLITUSTzmustliter">
    <w:name w:val="Z_LIT/UST(§) – zm. ust. (§) literą"/>
    <w:basedOn w:val="USTustnpkodeksu"/>
    <w:uiPriority w:val="99"/>
    <w:rsid w:val="008C134C"/>
    <w:pPr>
      <w:ind w:left="987"/>
    </w:pPr>
  </w:style>
  <w:style w:type="paragraph" w:customStyle="1" w:styleId="ZLITPKTzmpktliter">
    <w:name w:val="Z_LIT/PKT – zm. pkt literą"/>
    <w:basedOn w:val="PKTpunkt"/>
    <w:uiPriority w:val="99"/>
    <w:rsid w:val="008C134C"/>
    <w:pPr>
      <w:ind w:left="1497"/>
    </w:pPr>
  </w:style>
  <w:style w:type="paragraph" w:customStyle="1" w:styleId="ZZCZWSPPKTzmianazmczciwsppkt">
    <w:name w:val="ZZ/CZ_WSP_PKT – zmiana. zm. części wsp. pkt"/>
    <w:basedOn w:val="ZZARTzmianazmart"/>
    <w:next w:val="ZPKTzmpktartykuempunktem"/>
    <w:uiPriority w:val="99"/>
    <w:rsid w:val="008C134C"/>
    <w:pPr>
      <w:ind w:firstLine="0"/>
    </w:pPr>
  </w:style>
  <w:style w:type="paragraph" w:customStyle="1" w:styleId="ZLITLITzmlitliter">
    <w:name w:val="Z_LIT/LIT – zm. lit. literą"/>
    <w:basedOn w:val="LITlitera"/>
    <w:uiPriority w:val="99"/>
    <w:rsid w:val="008C134C"/>
    <w:pPr>
      <w:ind w:left="1463"/>
    </w:pPr>
  </w:style>
  <w:style w:type="paragraph" w:customStyle="1" w:styleId="ZLITCZWSPPKTzmczciwsppktliter">
    <w:name w:val="Z_LIT/CZ_WSP_PKT – zm. części wsp. pkt literą"/>
    <w:basedOn w:val="CZWSPLITczwsplnaliter"/>
    <w:next w:val="LITlitera"/>
    <w:uiPriority w:val="99"/>
    <w:rsid w:val="008C134C"/>
    <w:pPr>
      <w:ind w:left="987"/>
    </w:pPr>
  </w:style>
  <w:style w:type="paragraph" w:customStyle="1" w:styleId="ZLITTIRzmtirliter">
    <w:name w:val="Z_LIT/TIR – zm. tir. literą"/>
    <w:basedOn w:val="TIRtiret"/>
    <w:uiPriority w:val="99"/>
    <w:rsid w:val="008C134C"/>
  </w:style>
  <w:style w:type="paragraph" w:customStyle="1" w:styleId="ZZCZWSPLITwPKTzmianazmczciwsplitwpkt">
    <w:name w:val="ZZ/CZ_WSP_LIT_w_PKT – zmiana zm. części wsp. lit. w pkt"/>
    <w:basedOn w:val="ZZLITwPKTzmianazmlitwpkt"/>
    <w:uiPriority w:val="99"/>
    <w:rsid w:val="008C134C"/>
    <w:pPr>
      <w:ind w:left="2404" w:firstLine="0"/>
    </w:pPr>
  </w:style>
  <w:style w:type="paragraph" w:customStyle="1" w:styleId="ZLITLITwPKTzmlitwpktliter">
    <w:name w:val="Z_LIT/LIT_w_PKT – zm. lit. w pkt literą"/>
    <w:basedOn w:val="LITlitera"/>
    <w:uiPriority w:val="99"/>
    <w:rsid w:val="008C134C"/>
    <w:pPr>
      <w:ind w:left="1973"/>
    </w:pPr>
  </w:style>
  <w:style w:type="paragraph" w:customStyle="1" w:styleId="ZLITCZWSPLITwPKTzmczciwsplitwpktliter">
    <w:name w:val="Z_LIT/CZ_WSP_LIT_w_PKT – zm. części wsp. lit. w pkt literą"/>
    <w:basedOn w:val="CZWSPLITczwsplnaliter"/>
    <w:next w:val="LITlitera"/>
    <w:uiPriority w:val="99"/>
    <w:rsid w:val="008C134C"/>
    <w:pPr>
      <w:ind w:left="1497"/>
    </w:pPr>
  </w:style>
  <w:style w:type="paragraph" w:customStyle="1" w:styleId="ZLITTIRwPKTzmtirwpktliter">
    <w:name w:val="Z_LIT/TIR_w_PKT – zm. tir. w pkt literą"/>
    <w:basedOn w:val="TIRtiret"/>
    <w:uiPriority w:val="99"/>
    <w:rsid w:val="008C134C"/>
    <w:pPr>
      <w:ind w:left="2370"/>
    </w:pPr>
  </w:style>
  <w:style w:type="paragraph" w:customStyle="1" w:styleId="ZLITCZWSPTIRwPKTzmczciwsptirwpktliter">
    <w:name w:val="Z_LIT/CZ_WSP_TIR_w_PKT – zm. części wsp. tir. w pkt literą"/>
    <w:basedOn w:val="CZWSPTIRczwsplnatiret"/>
    <w:next w:val="LITlitera"/>
    <w:uiPriority w:val="99"/>
    <w:rsid w:val="008C134C"/>
    <w:pPr>
      <w:ind w:left="1973"/>
    </w:pPr>
  </w:style>
  <w:style w:type="paragraph" w:customStyle="1" w:styleId="ZTIRLITzmlittiret">
    <w:name w:val="Z_TIR/LIT – zm. lit. tiret"/>
    <w:basedOn w:val="LITlitera"/>
    <w:uiPriority w:val="99"/>
    <w:rsid w:val="008C134C"/>
    <w:pPr>
      <w:ind w:left="1859"/>
    </w:pPr>
  </w:style>
  <w:style w:type="paragraph" w:customStyle="1" w:styleId="ZTIRCZWSPPKTzmczciwsppkttiret">
    <w:name w:val="Z_TIR/CZ_WSP_PKT – zm. części wsp. pkt tiret"/>
    <w:basedOn w:val="CZWSPLITczwsplnaliter"/>
    <w:next w:val="TIRtiret"/>
    <w:uiPriority w:val="99"/>
    <w:rsid w:val="008C134C"/>
    <w:pPr>
      <w:ind w:left="1383"/>
    </w:pPr>
  </w:style>
  <w:style w:type="paragraph" w:customStyle="1" w:styleId="ZTIRTIRzmtirtiret">
    <w:name w:val="Z_TIR/TIR – zm. tir. tiret"/>
    <w:basedOn w:val="TIRtiret"/>
    <w:uiPriority w:val="99"/>
    <w:rsid w:val="008C134C"/>
    <w:pPr>
      <w:ind w:left="1780"/>
    </w:pPr>
  </w:style>
  <w:style w:type="paragraph" w:customStyle="1" w:styleId="ZZCZWSPTIRwPKTzmianazmczciwsptirwpkt">
    <w:name w:val="ZZ/CZ_WSP_TIR_w_PKT – zmiana zm. części wsp. tir. w pkt"/>
    <w:basedOn w:val="ZZTIRwPKTzmianazmtirwpkt"/>
    <w:uiPriority w:val="99"/>
    <w:rsid w:val="008C134C"/>
    <w:pPr>
      <w:ind w:left="2880" w:firstLine="0"/>
    </w:pPr>
  </w:style>
  <w:style w:type="paragraph" w:customStyle="1" w:styleId="ZZTIRwLITzmianazmtirwlit">
    <w:name w:val="ZZ/TIR_w_LIT – zmiana zm. tir. w lit."/>
    <w:basedOn w:val="ZZTIRzmianazmtir"/>
    <w:uiPriority w:val="99"/>
    <w:rsid w:val="008C134C"/>
    <w:pPr>
      <w:ind w:left="2767"/>
    </w:pPr>
  </w:style>
  <w:style w:type="paragraph" w:customStyle="1" w:styleId="ZTIRTIRwLITzmtirwlittiret">
    <w:name w:val="Z_TIR/TIR_w_LIT – zm. tir. w lit. tiret"/>
    <w:basedOn w:val="TIRtiret"/>
    <w:uiPriority w:val="99"/>
    <w:rsid w:val="008C134C"/>
    <w:pPr>
      <w:ind w:left="2257"/>
    </w:pPr>
  </w:style>
  <w:style w:type="paragraph" w:customStyle="1" w:styleId="ZTIRCZWSPTIRwLITzmczciwsptirwlittiret">
    <w:name w:val="Z_TIR/CZ_WSP_TIR_w_LIT – zm. części wsp. tir. w lit. tiret"/>
    <w:basedOn w:val="CZWSPTIRczwsplnatiret"/>
    <w:next w:val="TIRtiret"/>
    <w:uiPriority w:val="99"/>
    <w:rsid w:val="008C134C"/>
    <w:pPr>
      <w:ind w:left="1860"/>
    </w:pPr>
  </w:style>
  <w:style w:type="paragraph" w:customStyle="1" w:styleId="CZWSP2TIRczwsplnapodwjnychtiret">
    <w:name w:val="CZ_WSP_2TIR – część wspólna podwójnych tiret"/>
    <w:basedOn w:val="CZWSPTIRczwsplnatiret"/>
    <w:next w:val="TIRtiret"/>
    <w:uiPriority w:val="99"/>
    <w:rsid w:val="008C134C"/>
    <w:pPr>
      <w:ind w:left="1780"/>
    </w:pPr>
  </w:style>
  <w:style w:type="paragraph" w:customStyle="1" w:styleId="Z2TIRzmpodwtirartykuempunktem">
    <w:name w:val="Z/2TIR – zm. podw. tir. artykułem (punktem)"/>
    <w:basedOn w:val="TIRtiret"/>
    <w:uiPriority w:val="99"/>
    <w:rsid w:val="008C134C"/>
    <w:pPr>
      <w:ind w:left="907"/>
    </w:pPr>
  </w:style>
  <w:style w:type="paragraph" w:customStyle="1" w:styleId="ZZCZWSPTIRwLITzmianazmczciwsptirwlit">
    <w:name w:val="ZZ/CZ_WSP_TIR_w_LIT – zmiana zm. części wsp. tir. w lit."/>
    <w:basedOn w:val="ZZTIRwLITzmianazmtirwlit"/>
    <w:uiPriority w:val="99"/>
    <w:rsid w:val="008C134C"/>
    <w:pPr>
      <w:ind w:left="2370" w:firstLine="0"/>
    </w:pPr>
  </w:style>
  <w:style w:type="paragraph" w:customStyle="1" w:styleId="ZLIT2TIRzmpodwtirliter">
    <w:name w:val="Z_LIT/2TIR – zm. podw. tir. literą"/>
    <w:basedOn w:val="TIRtiret"/>
    <w:uiPriority w:val="99"/>
    <w:rsid w:val="008C134C"/>
  </w:style>
  <w:style w:type="paragraph" w:customStyle="1" w:styleId="ZTIR2TIRzmpodwtirtiret">
    <w:name w:val="Z_TIR/2TIR – zm. podw. tir. tiret"/>
    <w:basedOn w:val="TIRtiret"/>
    <w:uiPriority w:val="99"/>
    <w:rsid w:val="008C134C"/>
    <w:pPr>
      <w:ind w:left="1780"/>
    </w:pPr>
  </w:style>
  <w:style w:type="paragraph" w:customStyle="1" w:styleId="Z2TIRCZWSPLITzmczciwsplitpodwjnymtiret">
    <w:name w:val="Z_2TIR/CZ_WSP_LIT – zm. części wsp. lit. podwójnym tiret"/>
    <w:basedOn w:val="CZWSPTIRczwsplnatiret"/>
    <w:next w:val="2TIRpodwjnytiret"/>
    <w:uiPriority w:val="99"/>
    <w:rsid w:val="008C134C"/>
    <w:pPr>
      <w:ind w:left="1780"/>
    </w:pPr>
  </w:style>
  <w:style w:type="paragraph" w:customStyle="1" w:styleId="Z2TIRwPKTzmpodwtirwpktartykuempunktem">
    <w:name w:val="Z/2TIR_w_PKT – zm. podw. tir. w pkt artykułem (punktem)"/>
    <w:basedOn w:val="TIRtiret"/>
    <w:next w:val="ZPKTzmpktartykuempunktem"/>
    <w:uiPriority w:val="99"/>
    <w:rsid w:val="008C134C"/>
    <w:pPr>
      <w:ind w:left="2291"/>
    </w:pPr>
  </w:style>
  <w:style w:type="paragraph" w:customStyle="1" w:styleId="ZTIRPKTzmpkttiret">
    <w:name w:val="Z_TIR/PKT – zm. pkt tiret"/>
    <w:basedOn w:val="PKTpunkt"/>
    <w:uiPriority w:val="99"/>
    <w:rsid w:val="008C134C"/>
    <w:pPr>
      <w:ind w:left="1893"/>
    </w:pPr>
  </w:style>
  <w:style w:type="paragraph" w:customStyle="1" w:styleId="ZTIRLITwPKTzmlitwpkttiret">
    <w:name w:val="Z_TIR/LIT_w_PKT – zm. lit. w pkt tiret"/>
    <w:basedOn w:val="LITlitera"/>
    <w:uiPriority w:val="99"/>
    <w:rsid w:val="008C134C"/>
    <w:pPr>
      <w:ind w:left="2336"/>
    </w:pPr>
  </w:style>
  <w:style w:type="paragraph" w:customStyle="1" w:styleId="ZTIRCZWSPLITwPKTzmczciwsplitwpkttiret">
    <w:name w:val="Z_TIR/CZ_WSP_LIT_w_PKT – zm. części wsp. lit. w pkt tiret"/>
    <w:basedOn w:val="CZWSPLITczwsplnaliter"/>
    <w:uiPriority w:val="99"/>
    <w:rsid w:val="008C134C"/>
    <w:pPr>
      <w:ind w:left="1860"/>
    </w:pPr>
  </w:style>
  <w:style w:type="paragraph" w:customStyle="1" w:styleId="ZTIR2TIRwLITzmpodwtirwlittiret">
    <w:name w:val="Z_TIR/2TIR_w_LIT – zm. podw. tir. w lit. tiret"/>
    <w:basedOn w:val="TIRtiret"/>
    <w:uiPriority w:val="99"/>
    <w:rsid w:val="008C134C"/>
    <w:pPr>
      <w:ind w:left="2654"/>
    </w:pPr>
  </w:style>
  <w:style w:type="paragraph" w:customStyle="1" w:styleId="ZTIRCZWSP2TIRwLITzmczciwsppodwtirwlittiret">
    <w:name w:val="Z_TIR/CZ_WSP_2TIR_w_LIT – zm. części wsp. podw. tir. w lit. tiret"/>
    <w:basedOn w:val="CZWSPTIRczwsplnatiret"/>
    <w:next w:val="TIRtiret"/>
    <w:uiPriority w:val="99"/>
    <w:rsid w:val="008C134C"/>
    <w:pPr>
      <w:ind w:left="2257"/>
    </w:pPr>
  </w:style>
  <w:style w:type="paragraph" w:customStyle="1" w:styleId="ZTIR2TIRwTIRzmpodwtirwtirtiret">
    <w:name w:val="Z_TIR/2TIR_w_TIR – zm. podw. tir. w tir. tiret"/>
    <w:basedOn w:val="TIRtiret"/>
    <w:uiPriority w:val="99"/>
    <w:rsid w:val="008C134C"/>
    <w:pPr>
      <w:ind w:left="2177"/>
    </w:pPr>
  </w:style>
  <w:style w:type="paragraph" w:customStyle="1" w:styleId="ZTIRCZWSP2TIRwTIRzmczciwsppodwtirwtirtiret">
    <w:name w:val="Z_TIR/CZ_WSP_2TIR_w_TIR – zm. części wsp. podw. tir. w tir. tiret"/>
    <w:basedOn w:val="CZWSPTIRczwsplnatiret"/>
    <w:uiPriority w:val="99"/>
    <w:rsid w:val="008C134C"/>
    <w:pPr>
      <w:ind w:left="1780"/>
    </w:pPr>
  </w:style>
  <w:style w:type="paragraph" w:customStyle="1" w:styleId="Z2TIRLITzmlitpodwjnymtiret">
    <w:name w:val="Z_2TIR/LIT – zm. lit. podwójnym tiret"/>
    <w:basedOn w:val="LITlitera"/>
    <w:uiPriority w:val="99"/>
    <w:rsid w:val="008C134C"/>
    <w:pPr>
      <w:ind w:left="2256"/>
    </w:pPr>
  </w:style>
  <w:style w:type="paragraph" w:customStyle="1" w:styleId="ZZ2TIRwTIRzmianazmpodwtirwtir">
    <w:name w:val="ZZ/2TIR_w_TIR – zmiana zm. podw. tir. w tir."/>
    <w:basedOn w:val="ZZCZWSP2TIRzmianazmczciwsppodwtir"/>
    <w:uiPriority w:val="99"/>
    <w:rsid w:val="008C134C"/>
    <w:pPr>
      <w:ind w:left="2688" w:hanging="397"/>
    </w:pPr>
  </w:style>
  <w:style w:type="paragraph" w:customStyle="1" w:styleId="ZZ2TIRwLITzmianazmpodwtirwlit">
    <w:name w:val="ZZ/2TIR_w_LIT – zmiana zm. podw. tir. w lit."/>
    <w:basedOn w:val="ZZ2TIRwTIRzmianazmpodwtirwtir"/>
    <w:uiPriority w:val="99"/>
    <w:rsid w:val="008C134C"/>
    <w:pPr>
      <w:ind w:left="3164"/>
    </w:pPr>
  </w:style>
  <w:style w:type="paragraph" w:customStyle="1" w:styleId="Z2TIRTIRwLITzmtirwlitpodwjnymtiret">
    <w:name w:val="Z_2TIR/TIR_w_LIT – zm. tir. w lit. podwójnym tiret"/>
    <w:basedOn w:val="TIRtiret"/>
    <w:uiPriority w:val="99"/>
    <w:rsid w:val="008C13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8C134C"/>
    <w:pPr>
      <w:ind w:left="2257"/>
    </w:pPr>
  </w:style>
  <w:style w:type="paragraph" w:customStyle="1" w:styleId="ZZ2TIRwPKTzmianazmpodwtirwpkt">
    <w:name w:val="ZZ/2TIR_w_PKT – zmiana zm. podw. tir. w pkt"/>
    <w:basedOn w:val="ZZ2TIRwLITzmianazmpodwtirwlit"/>
    <w:uiPriority w:val="99"/>
    <w:rsid w:val="008C134C"/>
    <w:pPr>
      <w:ind w:left="3674"/>
    </w:pPr>
  </w:style>
  <w:style w:type="paragraph" w:customStyle="1" w:styleId="ZZCZWSP2TIRwTIRzmianazmczciwsppodwtirwtir">
    <w:name w:val="ZZ/CZ_WSP_2TIR_w_TIR – zmiana zm. części wsp. podw. tir. w tir."/>
    <w:basedOn w:val="ZZ2TIRwLITzmianazmpodwtirwlit"/>
    <w:uiPriority w:val="99"/>
    <w:rsid w:val="008C134C"/>
    <w:pPr>
      <w:ind w:left="2291" w:firstLine="0"/>
    </w:pPr>
  </w:style>
  <w:style w:type="paragraph" w:customStyle="1" w:styleId="Z2TIR2TIRwTIRzmpodwtirwtirpodwjnymtiret">
    <w:name w:val="Z_2TIR/2TIR_w_TIR – zm. podw. tir. w tir. podwójnym tiret"/>
    <w:basedOn w:val="TIRtiret"/>
    <w:uiPriority w:val="99"/>
    <w:rsid w:val="008C13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8C134C"/>
    <w:pPr>
      <w:ind w:left="2177"/>
    </w:pPr>
  </w:style>
  <w:style w:type="paragraph" w:customStyle="1" w:styleId="Z2TIR2TIRwLITzmpodwtirwlitpodwjnymtiret">
    <w:name w:val="Z_2TIR/2TIR_w_LIT – zm. podw. tir. w lit. podwójnym tiret"/>
    <w:basedOn w:val="TIRtiret"/>
    <w:uiPriority w:val="99"/>
    <w:rsid w:val="008C13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8C13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8C134C"/>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8C134C"/>
    <w:pPr>
      <w:spacing w:after="120"/>
      <w:ind w:left="510"/>
    </w:pPr>
    <w:rPr>
      <w:b w:val="0"/>
    </w:rPr>
  </w:style>
  <w:style w:type="paragraph" w:customStyle="1" w:styleId="ZZARTzmianazmart">
    <w:name w:val="ZZ/ART(§) – zmiana zm. art. (§)"/>
    <w:basedOn w:val="ZARTzmartartykuempunktem"/>
    <w:uiPriority w:val="99"/>
    <w:rsid w:val="008C134C"/>
    <w:pPr>
      <w:ind w:left="1894"/>
    </w:pPr>
  </w:style>
  <w:style w:type="paragraph" w:customStyle="1" w:styleId="ZZPKTzmianazmpkt">
    <w:name w:val="ZZ/PKT – zmiana zm. pkt"/>
    <w:basedOn w:val="ZPKTzmpktartykuempunktem"/>
    <w:uiPriority w:val="99"/>
    <w:rsid w:val="008C134C"/>
    <w:pPr>
      <w:ind w:left="2404"/>
    </w:pPr>
  </w:style>
  <w:style w:type="paragraph" w:customStyle="1" w:styleId="ZZLITwPKTzmianazmlitwpkt">
    <w:name w:val="ZZ/LIT_w_PKT – zmiana zm. lit. w pkt"/>
    <w:basedOn w:val="ZLITwPKTzmlitwpktartykuempunktem"/>
    <w:uiPriority w:val="99"/>
    <w:rsid w:val="008C134C"/>
    <w:pPr>
      <w:ind w:left="2880"/>
    </w:pPr>
  </w:style>
  <w:style w:type="paragraph" w:customStyle="1" w:styleId="ZZTIRwPKTzmianazmtirwpkt">
    <w:name w:val="ZZ/TIR_w_PKT – zmiana zm. tir. w pkt"/>
    <w:basedOn w:val="ZTIRwPKTzmtirwpktartykuempunktem"/>
    <w:uiPriority w:val="99"/>
    <w:rsid w:val="008C134C"/>
    <w:pPr>
      <w:ind w:left="3277"/>
    </w:pPr>
  </w:style>
  <w:style w:type="paragraph" w:customStyle="1" w:styleId="ZZWMATFIZCHEMzmwzorumatfizlubchem">
    <w:name w:val="ZZ/W_MAT(FIZ|CHEM) – zm. wzoru mat. (fiz. lub chem.)"/>
    <w:basedOn w:val="ZWMATFIZCHEMzmwzorumatfizlubchemartykuempunktem"/>
    <w:uiPriority w:val="99"/>
    <w:rsid w:val="008C134C"/>
    <w:pPr>
      <w:ind w:left="2404"/>
    </w:pPr>
  </w:style>
  <w:style w:type="paragraph" w:customStyle="1" w:styleId="ODNONIKtreodnonika">
    <w:name w:val="ODNOŚNIK – treść odnośnika"/>
    <w:uiPriority w:val="99"/>
    <w:rsid w:val="004368C4"/>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99"/>
    <w:rsid w:val="008C13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8C13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8C134C"/>
    <w:rPr>
      <w:rFonts w:ascii="Times New Roman" w:hAnsi="Times New Roman"/>
    </w:rPr>
  </w:style>
  <w:style w:type="paragraph" w:customStyle="1" w:styleId="ZTIRTIRwPKTzmtirwpkttiret">
    <w:name w:val="Z_TIR/TIR_w_PKT – zm. tir. w pkt tiret"/>
    <w:basedOn w:val="ZTIRTIRwLITzmtirwlittiret"/>
    <w:uiPriority w:val="99"/>
    <w:rsid w:val="008C134C"/>
    <w:pPr>
      <w:ind w:left="2733"/>
    </w:pPr>
  </w:style>
  <w:style w:type="paragraph" w:customStyle="1" w:styleId="ZTIRCZWSPTIRwPKTzmczciwsptirtiret">
    <w:name w:val="Z_TIR/CZ_WSP_TIR_w_PKT – zm. części wsp. tir. tiret"/>
    <w:basedOn w:val="ZTIRTIRwPKTzmtirwpkttiret"/>
    <w:next w:val="TIRtiret"/>
    <w:uiPriority w:val="99"/>
    <w:rsid w:val="008C13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8C134C"/>
    <w:pPr>
      <w:ind w:left="510" w:firstLine="0"/>
    </w:pPr>
  </w:style>
  <w:style w:type="paragraph" w:customStyle="1" w:styleId="ROZDZODDZOZNoznaczenierozdziauluboddziau">
    <w:name w:val="ROZDZ(ODDZ)_OZN – oznaczenie rozdziału lub oddziału"/>
    <w:next w:val="ARTartustawynprozporzdzenia"/>
    <w:uiPriority w:val="99"/>
    <w:rsid w:val="008C134C"/>
    <w:pPr>
      <w:keepNext/>
      <w:suppressAutoHyphens/>
      <w:spacing w:before="120"/>
      <w:jc w:val="center"/>
    </w:pPr>
    <w:rPr>
      <w:rFonts w:eastAsia="Times New Roman" w:cs="Arial"/>
      <w:bCs/>
      <w:kern w:val="24"/>
      <w:lang w:eastAsia="en-US"/>
    </w:rPr>
  </w:style>
  <w:style w:type="paragraph" w:customStyle="1" w:styleId="Z2TIR2TIRzmpodwtirpodwjnymtiret">
    <w:name w:val="Z_2TIR/2TIR – zm. podw. tir. podwójnym tiret"/>
    <w:basedOn w:val="TIRtiret"/>
    <w:uiPriority w:val="99"/>
    <w:rsid w:val="008C134C"/>
    <w:pPr>
      <w:ind w:left="2177"/>
    </w:pPr>
  </w:style>
  <w:style w:type="paragraph" w:customStyle="1" w:styleId="Z2TIRTIRzmtirpodwjnymtiret">
    <w:name w:val="Z_2TIR/TIR – zm. tir. podwójnym tiret"/>
    <w:basedOn w:val="TIRtiret"/>
    <w:uiPriority w:val="99"/>
    <w:rsid w:val="008C13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8C134C"/>
    <w:pPr>
      <w:ind w:left="1021"/>
    </w:pPr>
  </w:style>
  <w:style w:type="paragraph" w:customStyle="1" w:styleId="ZLITSKARNzmsankcjikarnejliter">
    <w:name w:val="Z_LIT/S_KARN – zm. sankcji karnej literą"/>
    <w:basedOn w:val="ZSKARNzmsankcjikarnejwszczeglnociwKodeksiekarnym"/>
    <w:uiPriority w:val="99"/>
    <w:rsid w:val="008C134C"/>
    <w:pPr>
      <w:ind w:left="1497"/>
    </w:pPr>
  </w:style>
  <w:style w:type="paragraph" w:customStyle="1" w:styleId="ZCYTzmcytatunpprzysigiartykuempunktem">
    <w:name w:val="Z/CYT – zm. cytatu np. przysięgi artykułem (punktem)"/>
    <w:basedOn w:val="CYTcytatnpprzysigi"/>
    <w:next w:val="ZUSTzmustartykuempunktem"/>
    <w:uiPriority w:val="99"/>
    <w:rsid w:val="008C134C"/>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8C134C"/>
    <w:pPr>
      <w:ind w:left="1894" w:firstLine="0"/>
    </w:pPr>
  </w:style>
  <w:style w:type="paragraph" w:customStyle="1" w:styleId="Z2TIRwLITzmpodwtirwlitartykuempunktem">
    <w:name w:val="Z/2TIR_w_LIT – zm. podw. tir. w lit. artykułem (punktem)"/>
    <w:basedOn w:val="Z2TIRwPKTzmpodwtirwpktartykuempunktem"/>
    <w:uiPriority w:val="99"/>
    <w:rsid w:val="008C134C"/>
    <w:pPr>
      <w:ind w:left="1780"/>
    </w:pPr>
  </w:style>
  <w:style w:type="paragraph" w:customStyle="1" w:styleId="Z2TIRwTIRzmpodwtirwtirartykuempunktem">
    <w:name w:val="Z/2TIR_w_TIR – zm. podw. tir. w tir. artykułem (punktem)"/>
    <w:basedOn w:val="Z2TIRwLITzmpodwtirwlitartykuempunktem"/>
    <w:uiPriority w:val="99"/>
    <w:rsid w:val="008C13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8C13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8C134C"/>
    <w:pPr>
      <w:ind w:left="1383" w:firstLine="0"/>
    </w:pPr>
  </w:style>
  <w:style w:type="paragraph" w:customStyle="1" w:styleId="ZZCZWSP2TIRzmianazmczciwsppodwtir">
    <w:name w:val="ZZ/CZ_WSP_2TIR – zmiana zm. części wsp. podw. tir."/>
    <w:basedOn w:val="ZZTIRzmianazmtir"/>
    <w:next w:val="ZZUSTzmianazmust"/>
    <w:uiPriority w:val="99"/>
    <w:rsid w:val="008C134C"/>
    <w:pPr>
      <w:ind w:left="1894" w:firstLine="0"/>
    </w:pPr>
  </w:style>
  <w:style w:type="paragraph" w:customStyle="1" w:styleId="PKTODNONIKApunktodnonika">
    <w:name w:val="PKT_ODNOŚNIKA – punkt odnośnika"/>
    <w:basedOn w:val="ODNONIKtreodnonika"/>
    <w:uiPriority w:val="99"/>
    <w:rsid w:val="008C134C"/>
    <w:pPr>
      <w:ind w:left="568"/>
    </w:pPr>
  </w:style>
  <w:style w:type="paragraph" w:customStyle="1" w:styleId="ZODNONIKAzmtekstuodnonikaartykuempunktem">
    <w:name w:val="Z/ODNOŚNIKA – zm. tekstu odnośnika artykułem (punktem)"/>
    <w:basedOn w:val="ODNONIKtreodnonika"/>
    <w:uiPriority w:val="99"/>
    <w:rsid w:val="008C13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8C134C"/>
    <w:pPr>
      <w:ind w:left="1304"/>
    </w:pPr>
  </w:style>
  <w:style w:type="paragraph" w:customStyle="1" w:styleId="ZPKTODNONIKAzmpktodnonikaartykuempunktem">
    <w:name w:val="Z/PKT_ODNOŚNIKA – zm. pkt odnośnika artykułem (punktem)"/>
    <w:basedOn w:val="ZODNONIKAzmtekstuodnonikaartykuempunktem"/>
    <w:uiPriority w:val="99"/>
    <w:rsid w:val="008C134C"/>
  </w:style>
  <w:style w:type="paragraph" w:customStyle="1" w:styleId="ZLIT2TIRwTIRzmpodwtirwtirliter">
    <w:name w:val="Z_LIT/2TIR_w_TIR – zm. podw. tir. w tir. literą"/>
    <w:basedOn w:val="ZLIT2TIRzmpodwtirliter"/>
    <w:uiPriority w:val="99"/>
    <w:rsid w:val="008C134C"/>
    <w:pPr>
      <w:ind w:left="1780"/>
    </w:pPr>
  </w:style>
  <w:style w:type="paragraph" w:customStyle="1" w:styleId="ZLIT2TIRwLITzmpodwtirwlitliter">
    <w:name w:val="Z_LIT/2TIR_w_LIT – zm. podw. tir. w lit. literą"/>
    <w:basedOn w:val="ZLIT2TIRwTIRzmpodwtirwtirliter"/>
    <w:uiPriority w:val="99"/>
    <w:rsid w:val="008C134C"/>
    <w:pPr>
      <w:ind w:left="2257"/>
    </w:pPr>
  </w:style>
  <w:style w:type="paragraph" w:customStyle="1" w:styleId="ZLIT2TIRwPKTzmpodwtirwpktliter">
    <w:name w:val="Z_LIT/2TIR_w_PKT – zm. podw. tir. w pkt literą"/>
    <w:basedOn w:val="ZLIT2TIRwLITzmpodwtirwlitliter"/>
    <w:uiPriority w:val="99"/>
    <w:rsid w:val="008C13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8C13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8C13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8C134C"/>
    <w:pPr>
      <w:ind w:left="2370" w:firstLine="0"/>
    </w:pPr>
  </w:style>
  <w:style w:type="paragraph" w:customStyle="1" w:styleId="ZTIR2TIRwPKTzmpodwtirwpkttiret">
    <w:name w:val="Z_TIR/2TIR_w_PKT – zm. podw. tir. w pkt tiret"/>
    <w:basedOn w:val="ZTIR2TIRwLITzmpodwtirwlittiret"/>
    <w:uiPriority w:val="99"/>
    <w:rsid w:val="008C13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8C134C"/>
    <w:pPr>
      <w:ind w:left="2767" w:firstLine="0"/>
    </w:pPr>
  </w:style>
  <w:style w:type="paragraph" w:customStyle="1" w:styleId="ZZCZWSP2TIRwLITzmianazmczciwsppodwtirwlit">
    <w:name w:val="ZZ/CZ_WSP_2TIR_w_LIT – zmiana zm. części wsp. podw. tir. w lit."/>
    <w:basedOn w:val="ZZ2TIRwLITzmianazmpodwtirwlit"/>
    <w:uiPriority w:val="99"/>
    <w:rsid w:val="008C134C"/>
    <w:pPr>
      <w:ind w:left="2767"/>
    </w:pPr>
  </w:style>
  <w:style w:type="paragraph" w:customStyle="1" w:styleId="ZZCZWSP2TIRwPKTzmianazmczciwsppodwtirwpkt">
    <w:name w:val="ZZ/CZ_WSP_2TIR_w_PKT – zmiana zm. części wsp. podw. tir. w pkt"/>
    <w:basedOn w:val="ZZ2TIRwLITzmianazmpodwtirwlit"/>
    <w:uiPriority w:val="99"/>
    <w:rsid w:val="008C13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8C134C"/>
  </w:style>
  <w:style w:type="paragraph" w:customStyle="1" w:styleId="ZLITCZWSP2TIRzmczciwsppodwtirliter">
    <w:name w:val="Z_LIT/CZ_WSP_2TIR – zm. części wsp. podw. tir. literą"/>
    <w:basedOn w:val="ZLITCZWSPPKTzmczciwsppktliter"/>
    <w:next w:val="LITlitera"/>
    <w:uiPriority w:val="99"/>
    <w:rsid w:val="008C134C"/>
  </w:style>
  <w:style w:type="paragraph" w:customStyle="1" w:styleId="ZTIRCZWSP2TIRzmczciwsppodwtirtiret">
    <w:name w:val="Z_TIR/CZ_WSP_2TIR – zm. części wsp. podw. tir. tiret"/>
    <w:basedOn w:val="ZLITCZWSP2TIRzmczciwsppodwtirliter"/>
    <w:next w:val="TIRtiret"/>
    <w:uiPriority w:val="99"/>
    <w:rsid w:val="008C134C"/>
  </w:style>
  <w:style w:type="paragraph" w:customStyle="1" w:styleId="ZZ2TIRzmianazmpodwtir">
    <w:name w:val="ZZ/2TIR – zmiana zm. podw. tir."/>
    <w:basedOn w:val="ZZCZWSP2TIRzmianazmczciwsppodwtir"/>
    <w:uiPriority w:val="99"/>
    <w:rsid w:val="008C13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8C134C"/>
  </w:style>
  <w:style w:type="paragraph" w:customStyle="1" w:styleId="ZCZWSPTIRzmczciwsptirartykuempunktem">
    <w:name w:val="Z/CZ_WSP_TIR – zm. części wsp. tir. artykułem (punktem)"/>
    <w:basedOn w:val="ZCZWSPPKTzmczciwsppktartykuempunktem"/>
    <w:next w:val="PKTpunkt"/>
    <w:uiPriority w:val="99"/>
    <w:rsid w:val="008C134C"/>
  </w:style>
  <w:style w:type="paragraph" w:customStyle="1" w:styleId="ZLITCZWSPLITzmczciwsplitliter">
    <w:name w:val="Z_LIT/CZ_WSP_LIT – zm. części wsp. lit. literą"/>
    <w:basedOn w:val="ZLITCZWSPPKTzmczciwsppktliter"/>
    <w:next w:val="LITlitera"/>
    <w:uiPriority w:val="99"/>
    <w:rsid w:val="008C134C"/>
  </w:style>
  <w:style w:type="paragraph" w:customStyle="1" w:styleId="ZLITCZWSPTIRzmczciwsptirliter">
    <w:name w:val="Z_LIT/CZ_WSP_TIR – zm. części wsp. tir. literą"/>
    <w:basedOn w:val="ZLITCZWSPPKTzmczciwsppktliter"/>
    <w:next w:val="LITlitera"/>
    <w:uiPriority w:val="99"/>
    <w:rsid w:val="008C134C"/>
  </w:style>
  <w:style w:type="paragraph" w:customStyle="1" w:styleId="ZTIRCZWSPLITzmczciwsplittiret">
    <w:name w:val="Z_TIR/CZ_WSP_LIT – zm. części wsp. lit. tiret"/>
    <w:basedOn w:val="ZTIRCZWSPPKTzmczciwsppkttiret"/>
    <w:next w:val="TIRtiret"/>
    <w:uiPriority w:val="99"/>
    <w:rsid w:val="008C134C"/>
  </w:style>
  <w:style w:type="paragraph" w:customStyle="1" w:styleId="ZTIRCZWSPTIRzmczciwsptirtiret">
    <w:name w:val="Z_TIR/CZ_WSP_TIR – zm. części wsp. tir. tiret"/>
    <w:basedOn w:val="ZTIRCZWSPPKTzmczciwsppkttiret"/>
    <w:next w:val="TIRtiret"/>
    <w:uiPriority w:val="99"/>
    <w:rsid w:val="008C134C"/>
  </w:style>
  <w:style w:type="paragraph" w:customStyle="1" w:styleId="ZZCZWSPLITzmianazmczciwsplit">
    <w:name w:val="ZZ/CZ_WSP_LIT – zmiana. zm. części wsp. lit."/>
    <w:basedOn w:val="ZZCZWSPPKTzmianazmczciwsppkt"/>
    <w:uiPriority w:val="99"/>
    <w:rsid w:val="008C134C"/>
  </w:style>
  <w:style w:type="paragraph" w:customStyle="1" w:styleId="ZZCZWSPTIRzmianazmczciwsptir">
    <w:name w:val="ZZ/CZ_WSP_TIR – zmiana. zm. części wsp. tir."/>
    <w:basedOn w:val="ZZCZWSPPKTzmianazmczciwsppkt"/>
    <w:uiPriority w:val="99"/>
    <w:rsid w:val="008C134C"/>
  </w:style>
  <w:style w:type="paragraph" w:customStyle="1" w:styleId="Z2TIRCZWSPTIRzmczciwsptirpodwjnymtiret">
    <w:name w:val="Z_2TIR/CZ_WSP_TIR – zm. części wsp. tir. podwójnym tiret"/>
    <w:basedOn w:val="Z2TIRCZWSPLITzmczciwsplitpodwjnymtiret"/>
    <w:next w:val="2TIRpodwjnytiret"/>
    <w:uiPriority w:val="99"/>
    <w:rsid w:val="008C134C"/>
  </w:style>
  <w:style w:type="paragraph" w:customStyle="1" w:styleId="Z2TIRCZWSP2TIRzmczciwsppodwtirpodwjnymtiret">
    <w:name w:val="Z_2TIR/CZ_WSP_2TIR – zm. części wsp. podw. tir. podwójnym tiret"/>
    <w:basedOn w:val="Z2TIRCZWSPLITzmczciwsplitpodwjnymtiret"/>
    <w:next w:val="2TIRpodwjnytiret"/>
    <w:uiPriority w:val="99"/>
    <w:rsid w:val="008C134C"/>
  </w:style>
  <w:style w:type="paragraph" w:customStyle="1" w:styleId="ZUSTzmustartykuempunktem">
    <w:name w:val="Z/UST(§) – zm. ust. (§) artykułem (punktem)"/>
    <w:basedOn w:val="ZARTzmartartykuempunktem"/>
    <w:uiPriority w:val="99"/>
    <w:rsid w:val="008C134C"/>
  </w:style>
  <w:style w:type="paragraph" w:customStyle="1" w:styleId="ZZUSTzmianazmust">
    <w:name w:val="ZZ/UST(§) – zmiana zm. ust. (§)"/>
    <w:basedOn w:val="ZZARTzmianazmart"/>
    <w:uiPriority w:val="99"/>
    <w:rsid w:val="008C134C"/>
  </w:style>
  <w:style w:type="paragraph" w:customStyle="1" w:styleId="TYTDZPRZEDMprzedmiotregulacjitytuulubdziau">
    <w:name w:val="TYT(DZ)_PRZEDM – przedmiot regulacji tytułu lub działu"/>
    <w:next w:val="ARTartustawynprozporzdzenia"/>
    <w:uiPriority w:val="99"/>
    <w:rsid w:val="008C134C"/>
    <w:pPr>
      <w:keepNext/>
      <w:suppressAutoHyphens/>
      <w:spacing w:before="120"/>
      <w:jc w:val="center"/>
    </w:pPr>
    <w:rPr>
      <w:b/>
      <w:szCs w:val="26"/>
      <w:lang w:eastAsia="en-US"/>
    </w:rPr>
  </w:style>
  <w:style w:type="paragraph" w:customStyle="1" w:styleId="ZNIEARTTEKSTzmtekstunieartykuowanego">
    <w:name w:val="Z/NIEART_TEKST – zm. tekstu nieartykułowanego"/>
    <w:basedOn w:val="NIEARTTEKSTtekstnieartykuowanynppodstprawnarozplubpreambua"/>
    <w:uiPriority w:val="99"/>
    <w:rsid w:val="008C13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8C13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8C13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8C13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8C13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8C134C"/>
    <w:pPr>
      <w:ind w:left="1894"/>
    </w:pPr>
  </w:style>
  <w:style w:type="paragraph" w:customStyle="1" w:styleId="P1wTABELIpoziom1numeracjiwtabeli">
    <w:name w:val="P1_w_TABELI – poziom 1 numeracji w tabeli"/>
    <w:basedOn w:val="PKTpunkt"/>
    <w:uiPriority w:val="99"/>
    <w:rsid w:val="008C13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8C134C"/>
    <w:pPr>
      <w:ind w:left="0" w:firstLine="0"/>
    </w:pPr>
  </w:style>
  <w:style w:type="paragraph" w:customStyle="1" w:styleId="P2wTABELIpoziom2numeracjiwtabeli">
    <w:name w:val="P2_w_TABELI – poziom 2 numeracji w tabeli"/>
    <w:basedOn w:val="P1wTABELIpoziom1numeracjiwtabeli"/>
    <w:uiPriority w:val="99"/>
    <w:rsid w:val="008C134C"/>
    <w:pPr>
      <w:ind w:left="794"/>
    </w:pPr>
  </w:style>
  <w:style w:type="paragraph" w:customStyle="1" w:styleId="P3wTABELIpoziom3numeracjiwtabeli">
    <w:name w:val="P3_w_TABELI – poziom 3 numeracji w tabeli"/>
    <w:basedOn w:val="P2wTABELIpoziom2numeracjiwtabeli"/>
    <w:uiPriority w:val="99"/>
    <w:rsid w:val="008C13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8C13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8C13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8C134C"/>
    <w:pPr>
      <w:ind w:left="1191"/>
    </w:pPr>
  </w:style>
  <w:style w:type="paragraph" w:customStyle="1" w:styleId="P4wTABELIpoziom4numeracjiwtabeli">
    <w:name w:val="P4_w_TABELI – poziom 4 numeracji w tabeli"/>
    <w:basedOn w:val="P3wTABELIpoziom3numeracjiwtabeli"/>
    <w:uiPriority w:val="99"/>
    <w:rsid w:val="008C134C"/>
    <w:pPr>
      <w:ind w:left="1588"/>
    </w:pPr>
  </w:style>
  <w:style w:type="paragraph" w:customStyle="1" w:styleId="TYTTABELItytutabeli">
    <w:name w:val="TYT_TABELI – tytuł tabeli"/>
    <w:basedOn w:val="TYTDZOZNoznaczenietytuulubdziau"/>
    <w:uiPriority w:val="99"/>
    <w:rsid w:val="008C134C"/>
    <w:rPr>
      <w:b/>
    </w:rPr>
  </w:style>
  <w:style w:type="paragraph" w:customStyle="1" w:styleId="OZNPROJEKTUwskazaniedatylubwersjiprojektu">
    <w:name w:val="OZN_PROJEKTU – wskazanie daty lub wersji projektu"/>
    <w:next w:val="OZNRODZAKTUtznustawalubrozporzdzenieiorganwydajcy"/>
    <w:uiPriority w:val="99"/>
    <w:rsid w:val="008C134C"/>
    <w:pPr>
      <w:jc w:val="right"/>
    </w:pPr>
    <w:rPr>
      <w:rFonts w:ascii="Times New Roman" w:eastAsia="Times New Roman" w:hAnsi="Times New Roman" w:cs="Arial"/>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8C13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8C134C"/>
    <w:pPr>
      <w:ind w:left="0" w:right="4820"/>
      <w:jc w:val="left"/>
    </w:pPr>
  </w:style>
  <w:style w:type="paragraph" w:customStyle="1" w:styleId="TEKSTwporozumieniu">
    <w:name w:val="TEKST&quot;w porozumieniu:&quot;"/>
    <w:next w:val="NAZORGWPOROZUMIENIUnazwaorganuwporozumieniuzktrymaktjestwydawany"/>
    <w:uiPriority w:val="99"/>
    <w:rsid w:val="008C134C"/>
    <w:rPr>
      <w:rFonts w:ascii="Times New Roman" w:eastAsia="Times New Roman" w:hAnsi="Times New Roman" w:cs="Arial"/>
      <w:b/>
      <w:lang w:eastAsia="en-US"/>
    </w:rPr>
  </w:style>
  <w:style w:type="paragraph" w:customStyle="1" w:styleId="CZWSPPKTODNONIKAczwsppunkwodnonika">
    <w:name w:val="CZ_WSP_PKT_ODNOŚNIKA – część wsp. punków odnośnika"/>
    <w:basedOn w:val="PKTODNONIKApunktodnonika"/>
    <w:uiPriority w:val="99"/>
    <w:rsid w:val="008C13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8C134C"/>
    <w:pPr>
      <w:ind w:left="510" w:firstLine="0"/>
    </w:pPr>
  </w:style>
  <w:style w:type="paragraph" w:customStyle="1" w:styleId="NOTATKILEGISLATORA">
    <w:name w:val="NOTATKI_LEGISLATORA"/>
    <w:basedOn w:val="Normalny"/>
    <w:uiPriority w:val="99"/>
    <w:rsid w:val="008C134C"/>
    <w:rPr>
      <w:b/>
      <w:i/>
    </w:rPr>
  </w:style>
  <w:style w:type="paragraph" w:customStyle="1" w:styleId="OZNZACZNIKAwskazanienrzacznika">
    <w:name w:val="OZN_ZAŁĄCZNIKA – wskazanie nr załącznika"/>
    <w:basedOn w:val="OZNPROJEKTUwskazaniedatylubwersjiprojektu"/>
    <w:uiPriority w:val="99"/>
    <w:rsid w:val="008C134C"/>
    <w:pPr>
      <w:keepNext/>
    </w:pPr>
    <w:rPr>
      <w:b/>
      <w:u w:val="none"/>
    </w:rPr>
  </w:style>
  <w:style w:type="paragraph" w:customStyle="1" w:styleId="OZNPARAFYADNOTACJE">
    <w:name w:val="OZN_PARAFY(ADNOTACJE)"/>
    <w:basedOn w:val="ODNONIKtreodnonika"/>
    <w:uiPriority w:val="99"/>
    <w:rsid w:val="008C134C"/>
  </w:style>
  <w:style w:type="paragraph" w:customStyle="1" w:styleId="TEKSTZacznikido">
    <w:name w:val="TEKST&quot;Załącznik(i) do ...&quot;"/>
    <w:uiPriority w:val="99"/>
    <w:rsid w:val="008C134C"/>
    <w:pPr>
      <w:keepNext/>
      <w:spacing w:after="240"/>
      <w:ind w:left="5670"/>
      <w:contextualSpacing/>
    </w:pPr>
    <w:rPr>
      <w:rFonts w:ascii="Times New Roman" w:eastAsia="Times New Roman" w:hAnsi="Times New Roman" w:cs="Arial"/>
      <w:lang w:eastAsia="en-US"/>
    </w:rPr>
  </w:style>
  <w:style w:type="paragraph" w:customStyle="1" w:styleId="LITODNONIKAliteraodnonika">
    <w:name w:val="LIT_ODNOŚNIKA – litera odnośnika"/>
    <w:basedOn w:val="PKTODNONIKApunktodnonika"/>
    <w:uiPriority w:val="99"/>
    <w:rsid w:val="008C134C"/>
    <w:pPr>
      <w:ind w:left="851"/>
    </w:pPr>
  </w:style>
  <w:style w:type="paragraph" w:customStyle="1" w:styleId="CZWSPLITODNONIKAczwspliterodnonika">
    <w:name w:val="CZ_WSP_LIT_ODNOŚNIKA – część wsp. liter odnośnika"/>
    <w:basedOn w:val="LITODNONIKAliteraodnonika"/>
    <w:uiPriority w:val="99"/>
    <w:rsid w:val="008C13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8C13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8C13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8C13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8C13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8C13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8C13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8C134C"/>
  </w:style>
  <w:style w:type="paragraph" w:customStyle="1" w:styleId="ZLITwPKTODNONIKAzmlitwpktodnonikaartykuempunktem">
    <w:name w:val="Z/LIT_w_PKT_ODNOŚNIKA – zm. lit. w pkt odnośnika artykułem (punktem)"/>
    <w:basedOn w:val="ZLITODNONIKAzmlitodnonikaartykuempunktem"/>
    <w:uiPriority w:val="99"/>
    <w:rsid w:val="008C13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8C13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8C13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8C13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8C13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8C13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8C134C"/>
  </w:style>
  <w:style w:type="paragraph" w:customStyle="1" w:styleId="ZZFRAGzmianazmfragmentunpzdania">
    <w:name w:val="ZZ/FRAG – zmiana zm. fragmentu (np. zdania)"/>
    <w:basedOn w:val="ZZCZWSPPKTzmianazmczciwsppkt"/>
    <w:uiPriority w:val="99"/>
    <w:rsid w:val="008C134C"/>
  </w:style>
  <w:style w:type="paragraph" w:customStyle="1" w:styleId="Z2TIRPKTzmpktpodwjnymtiret">
    <w:name w:val="Z_2TIR/PKT – zm. pkt podwójnym tiret"/>
    <w:basedOn w:val="Z2TIRLITzmlitpodwjnymtiret"/>
    <w:uiPriority w:val="99"/>
    <w:rsid w:val="008C13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8C13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8C13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8C13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8C134C"/>
    <w:pPr>
      <w:ind w:left="1780" w:firstLine="510"/>
    </w:pPr>
  </w:style>
  <w:style w:type="paragraph" w:customStyle="1" w:styleId="Z2TIRUSTzmustpodwjnymtiret">
    <w:name w:val="Z_2TIR/UST(§) – zm. ust. (§) podwójnym tiret"/>
    <w:basedOn w:val="Z2TIRPKTzmpktpodwjnymtiret"/>
    <w:uiPriority w:val="99"/>
    <w:rsid w:val="008C13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8C134C"/>
    <w:pPr>
      <w:ind w:left="3164" w:firstLine="0"/>
    </w:pPr>
  </w:style>
  <w:style w:type="paragraph" w:customStyle="1" w:styleId="Z2TIRCZWSPPKTzmczciwsppktpodwjnymtiret">
    <w:name w:val="Z_2TIR/CZ_WSP_PKT – zm. części wsp. pkt podwójnym tiret"/>
    <w:basedOn w:val="Z2TIRPKTzmpktpodwjnymtiret"/>
    <w:uiPriority w:val="99"/>
    <w:rsid w:val="008C13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8C134C"/>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8C134C"/>
    <w:pPr>
      <w:ind w:left="2767" w:firstLine="0"/>
    </w:pPr>
  </w:style>
  <w:style w:type="paragraph" w:customStyle="1" w:styleId="ZLITARTzmartliter">
    <w:name w:val="Z_LIT/ART(§) – zm. art. (§) literą"/>
    <w:basedOn w:val="ZLITUSTzmustliter"/>
    <w:uiPriority w:val="99"/>
    <w:rsid w:val="008C134C"/>
    <w:rPr>
      <w:rFonts w:ascii="Times New Roman" w:hAnsi="Times New Roman"/>
    </w:rPr>
  </w:style>
  <w:style w:type="paragraph" w:customStyle="1" w:styleId="ZTIRARTzmarttiret">
    <w:name w:val="Z_TIR/ART(§) – zm. art. (§) tiret"/>
    <w:basedOn w:val="ZTIRPKTzmpkttiret"/>
    <w:uiPriority w:val="99"/>
    <w:rsid w:val="008C134C"/>
    <w:pPr>
      <w:ind w:left="1383" w:firstLine="510"/>
    </w:pPr>
    <w:rPr>
      <w:rFonts w:ascii="Times New Roman" w:hAnsi="Times New Roman"/>
    </w:rPr>
  </w:style>
  <w:style w:type="paragraph" w:customStyle="1" w:styleId="ZTIRUSTzmusttiret">
    <w:name w:val="Z_TIR/UST(§) – zm. ust. (§) tiret"/>
    <w:basedOn w:val="ZTIRARTzmarttiret"/>
    <w:uiPriority w:val="99"/>
    <w:rsid w:val="008C134C"/>
  </w:style>
  <w:style w:type="paragraph" w:customStyle="1" w:styleId="ZLITKSIGIzmozniprzedmksigiliter">
    <w:name w:val="Z_LIT/KSIĘGI – zm. ozn. i przedm. księgi literą"/>
    <w:basedOn w:val="ZCZCIKSIGIzmozniprzedmczciksigiartykuempunktem"/>
    <w:uiPriority w:val="99"/>
    <w:rsid w:val="008C13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8C134C"/>
    <w:pPr>
      <w:ind w:left="987"/>
    </w:pPr>
  </w:style>
  <w:style w:type="paragraph" w:customStyle="1" w:styleId="ZLITTYTDZPRZEDMzmprzedmtytuudziauliter">
    <w:name w:val="Z_LIT/TYT(DZ)_PRZEDM – zm. przedm. tytułu (działu) literą"/>
    <w:basedOn w:val="ZTYTDZPRZEDMzmprzedmtytuulubdziauartykuempunktem"/>
    <w:uiPriority w:val="99"/>
    <w:rsid w:val="008C13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8C13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8C134C"/>
    <w:pPr>
      <w:ind w:left="987"/>
    </w:pPr>
  </w:style>
  <w:style w:type="paragraph" w:customStyle="1" w:styleId="ZTIRDZOZNzmozndziautiret">
    <w:name w:val="Z_TIR/DZ_OZN – zm. ozn. działu tiret"/>
    <w:basedOn w:val="ZLITTYTDZOZNzmozntytuudziauliter"/>
    <w:next w:val="ZTIRDZPRZEDMzmprzedmdziautiret"/>
    <w:uiPriority w:val="99"/>
    <w:rsid w:val="008C134C"/>
    <w:pPr>
      <w:ind w:left="1383"/>
    </w:pPr>
  </w:style>
  <w:style w:type="paragraph" w:customStyle="1" w:styleId="ZTIRDZPRZEDMzmprzedmdziautiret">
    <w:name w:val="Z_TIR/DZ_PRZEDM – zm. przedm. działu tiret"/>
    <w:basedOn w:val="ZLITTYTDZPRZEDMzmprzedmtytuudziauliter"/>
    <w:uiPriority w:val="99"/>
    <w:rsid w:val="008C13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8C134C"/>
    <w:pPr>
      <w:ind w:left="1383"/>
    </w:pPr>
  </w:style>
  <w:style w:type="paragraph" w:customStyle="1" w:styleId="ZTIRROZDZODDZPRZEDMzmprzedmrozdzoddztiret">
    <w:name w:val="Z_TIR/ROZDZ(ODDZ)_PRZEDM – zm. przedm. rozdz. (oddz.) tiret"/>
    <w:basedOn w:val="ZLITROZDZODDZPRZEDMzmprzedmrozdzoddzliter"/>
    <w:uiPriority w:val="99"/>
    <w:rsid w:val="008C13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8C13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8C134C"/>
    <w:pPr>
      <w:ind w:left="1780"/>
    </w:pPr>
  </w:style>
  <w:style w:type="character" w:customStyle="1" w:styleId="IGindeksgrny">
    <w:name w:val="_IG_ – indeks górny"/>
    <w:uiPriority w:val="99"/>
    <w:rsid w:val="004368C4"/>
    <w:rPr>
      <w:spacing w:val="0"/>
      <w:vertAlign w:val="superscript"/>
    </w:rPr>
  </w:style>
  <w:style w:type="character" w:customStyle="1" w:styleId="IDindeksdolny">
    <w:name w:val="_ID_ – indeks dolny"/>
    <w:uiPriority w:val="99"/>
    <w:rsid w:val="008C134C"/>
    <w:rPr>
      <w:rFonts w:cs="Times New Roman"/>
      <w:spacing w:val="0"/>
      <w:vertAlign w:val="subscript"/>
    </w:rPr>
  </w:style>
  <w:style w:type="character" w:customStyle="1" w:styleId="IDPindeksdolnyipogrubienie">
    <w:name w:val="_ID_P_ – indeks dolny i pogrubienie"/>
    <w:uiPriority w:val="99"/>
    <w:rsid w:val="008C134C"/>
    <w:rPr>
      <w:rFonts w:cs="Times New Roman"/>
      <w:b/>
      <w:spacing w:val="0"/>
      <w:vertAlign w:val="subscript"/>
    </w:rPr>
  </w:style>
  <w:style w:type="character" w:customStyle="1" w:styleId="IDKindeksdolnyikursywa">
    <w:name w:val="_ID_K_ – indeks dolny i kursywa"/>
    <w:uiPriority w:val="99"/>
    <w:rsid w:val="008C134C"/>
    <w:rPr>
      <w:rFonts w:cs="Times New Roman"/>
      <w:i/>
      <w:spacing w:val="0"/>
      <w:vertAlign w:val="subscript"/>
    </w:rPr>
  </w:style>
  <w:style w:type="character" w:customStyle="1" w:styleId="IGPindeksgrnyipogrubienie">
    <w:name w:val="_IG_P_ – indeks górny i pogrubienie"/>
    <w:uiPriority w:val="99"/>
    <w:rsid w:val="008C134C"/>
    <w:rPr>
      <w:rFonts w:cs="Times New Roman"/>
      <w:b/>
      <w:spacing w:val="0"/>
      <w:vertAlign w:val="superscript"/>
    </w:rPr>
  </w:style>
  <w:style w:type="character" w:customStyle="1" w:styleId="IGKindeksgrnyikursywa">
    <w:name w:val="_IG_K_ – indeks górny i kursywa"/>
    <w:uiPriority w:val="99"/>
    <w:rsid w:val="008C134C"/>
    <w:rPr>
      <w:rFonts w:cs="Times New Roman"/>
      <w:i/>
      <w:spacing w:val="0"/>
      <w:vertAlign w:val="superscript"/>
    </w:rPr>
  </w:style>
  <w:style w:type="character" w:customStyle="1" w:styleId="IGPKindeksgrnyipogrubieniekursywa">
    <w:name w:val="_IG_P_K_ – indeks górny i pogrubienie kursywa"/>
    <w:uiPriority w:val="99"/>
    <w:rsid w:val="008C134C"/>
    <w:rPr>
      <w:rFonts w:cs="Times New Roman"/>
      <w:b/>
      <w:i/>
      <w:spacing w:val="0"/>
      <w:vertAlign w:val="superscript"/>
    </w:rPr>
  </w:style>
  <w:style w:type="character" w:customStyle="1" w:styleId="IDPKindeksdolnyipogrugieniekursywa">
    <w:name w:val="_ID_P_K_ – indeks dolny i pogrugienie kursywa"/>
    <w:uiPriority w:val="99"/>
    <w:rsid w:val="008C134C"/>
    <w:rPr>
      <w:rFonts w:cs="Times New Roman"/>
      <w:b/>
      <w:i/>
      <w:spacing w:val="0"/>
      <w:vertAlign w:val="subscript"/>
    </w:rPr>
  </w:style>
  <w:style w:type="character" w:customStyle="1" w:styleId="Ppogrubienie">
    <w:name w:val="_P_ – pogrubienie"/>
    <w:uiPriority w:val="99"/>
    <w:rsid w:val="008C134C"/>
    <w:rPr>
      <w:rFonts w:cs="Times New Roman"/>
      <w:b/>
    </w:rPr>
  </w:style>
  <w:style w:type="character" w:customStyle="1" w:styleId="Kkursywa">
    <w:name w:val="_K_ – kursywa"/>
    <w:uiPriority w:val="99"/>
    <w:rsid w:val="008C134C"/>
    <w:rPr>
      <w:rFonts w:cs="Times New Roman"/>
      <w:i/>
    </w:rPr>
  </w:style>
  <w:style w:type="character" w:customStyle="1" w:styleId="PKpogrubieniekursywa">
    <w:name w:val="_P_K_ – pogrubienie kursywa"/>
    <w:uiPriority w:val="99"/>
    <w:rsid w:val="008C134C"/>
    <w:rPr>
      <w:rFonts w:cs="Times New Roman"/>
      <w:b/>
      <w:i/>
    </w:rPr>
  </w:style>
  <w:style w:type="character" w:customStyle="1" w:styleId="TEKSTOZNACZONYWDOKUMENCIERDOWYMJAKOUKRYTY">
    <w:name w:val="_TEKST_OZNACZONY_W_DOKUMENCIE_ŹRÓDŁOWYM_JAKO_UKRYTY_"/>
    <w:uiPriority w:val="99"/>
    <w:rsid w:val="008C134C"/>
    <w:rPr>
      <w:rFonts w:cs="Times New Roman"/>
      <w:color w:val="FF0000"/>
      <w:u w:val="single" w:color="FF0000"/>
    </w:rPr>
  </w:style>
  <w:style w:type="character" w:customStyle="1" w:styleId="BEZWERSALIKW">
    <w:name w:val="_BEZ_WERSALIKÓW_"/>
    <w:uiPriority w:val="99"/>
    <w:rsid w:val="008C134C"/>
    <w:rPr>
      <w:rFonts w:cs="Times New Roman"/>
      <w:caps/>
    </w:rPr>
  </w:style>
  <w:style w:type="character" w:customStyle="1" w:styleId="IIGPindeksgrnyindeksugrnegoipogrubienie">
    <w:name w:val="_IIG_P_ – indeks górny indeksu górnego i pogrubienie"/>
    <w:uiPriority w:val="99"/>
    <w:rsid w:val="008C134C"/>
    <w:rPr>
      <w:rFonts w:cs="Times New Roman"/>
      <w:b/>
      <w:spacing w:val="0"/>
      <w:position w:val="6"/>
      <w:vertAlign w:val="superscript"/>
    </w:rPr>
  </w:style>
  <w:style w:type="character" w:customStyle="1" w:styleId="IIGindeksgrnyindeksugrnego">
    <w:name w:val="_IIG_ – indeks górny indeksu górnego"/>
    <w:uiPriority w:val="99"/>
    <w:rsid w:val="008C134C"/>
    <w:rPr>
      <w:rFonts w:cs="Times New Roman"/>
      <w:b/>
      <w:spacing w:val="0"/>
      <w:position w:val="6"/>
      <w:vertAlign w:val="superscript"/>
    </w:rPr>
  </w:style>
  <w:style w:type="paragraph" w:customStyle="1" w:styleId="ODNONIKSPECtreodnonikadoodnonika">
    <w:name w:val="ODNOŚNIK_SPEC – treść odnośnika do odnośnika"/>
    <w:basedOn w:val="Normalny"/>
    <w:uiPriority w:val="99"/>
    <w:rsid w:val="008C134C"/>
    <w:pPr>
      <w:spacing w:line="240" w:lineRule="auto"/>
      <w:ind w:left="283" w:hanging="170"/>
    </w:pPr>
    <w:rPr>
      <w:sz w:val="20"/>
    </w:rPr>
  </w:style>
  <w:style w:type="paragraph" w:customStyle="1" w:styleId="TEKSTwTABELItekstzwcitympierwwierszem">
    <w:name w:val="TEKST_w_TABELI – tekst z wciętym pierw. wierszem"/>
    <w:basedOn w:val="Normalny"/>
    <w:uiPriority w:val="99"/>
    <w:rsid w:val="008C134C"/>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rsid w:val="008C134C"/>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8C134C"/>
    <w:pPr>
      <w:ind w:left="1894"/>
    </w:pPr>
  </w:style>
  <w:style w:type="paragraph" w:customStyle="1" w:styleId="ZZSKARNzmianazmsankcjikarnej">
    <w:name w:val="ZZ/S_KARN – zmiana zm. sankcji karnej"/>
    <w:basedOn w:val="ZZFRAGzmianazmfragmentunpzdania"/>
    <w:uiPriority w:val="99"/>
    <w:rsid w:val="008C13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8C134C"/>
    <w:pPr>
      <w:ind w:left="2291" w:firstLine="0"/>
    </w:pPr>
  </w:style>
  <w:style w:type="paragraph" w:customStyle="1" w:styleId="WMATFIZCHEMwzrmatfizlubchem">
    <w:name w:val="W_MAT(FIZ|CHEM) – wzór mat. (fiz. lub chem.)"/>
    <w:uiPriority w:val="99"/>
    <w:rsid w:val="008C134C"/>
    <w:pPr>
      <w:jc w:val="center"/>
    </w:pPr>
    <w:rPr>
      <w:rFonts w:ascii="Times New Roman" w:eastAsia="Times New Roman" w:hAnsi="Times New Roman" w:cs="Arial"/>
      <w:lang w:eastAsia="en-US"/>
    </w:rPr>
  </w:style>
  <w:style w:type="paragraph" w:customStyle="1" w:styleId="LEGWMATFIZCHEMlegendawzorumatfizlubchem">
    <w:name w:val="LEG_W_MAT(FIZ|CHEM) – legenda wzoru mat. (fiz. lub chem.)"/>
    <w:basedOn w:val="WMATFIZCHEMwzrmatfizlubchem"/>
    <w:uiPriority w:val="99"/>
    <w:rsid w:val="008C13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8C13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8C13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8C13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8C13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8C13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8C13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8C13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8C134C"/>
    <w:pPr>
      <w:ind w:left="3085"/>
    </w:pPr>
  </w:style>
  <w:style w:type="paragraph" w:customStyle="1" w:styleId="ZLITCYTzmcytatunpprzysigiliter">
    <w:name w:val="Z_LIT/CYT – zm. cytatu np. przysięgi literą"/>
    <w:basedOn w:val="ZCYTzmcytatunpprzysigiartykuempunktem"/>
    <w:uiPriority w:val="99"/>
    <w:rsid w:val="008C134C"/>
    <w:pPr>
      <w:ind w:left="1497"/>
    </w:pPr>
  </w:style>
  <w:style w:type="paragraph" w:customStyle="1" w:styleId="ZTIRCYTzmcytatunpprzysigitiret">
    <w:name w:val="Z_TIR/CYT – zm. cytatu np. przysięgi tiret"/>
    <w:basedOn w:val="ZLITCYTzmcytatunpprzysigiliter"/>
    <w:next w:val="ZTIRUSTzmusttiret"/>
    <w:uiPriority w:val="99"/>
    <w:rsid w:val="008C13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8C134C"/>
    <w:pPr>
      <w:ind w:left="2291"/>
    </w:pPr>
  </w:style>
  <w:style w:type="paragraph" w:customStyle="1" w:styleId="ZZCYTzmianazmcytatunpprzysigi">
    <w:name w:val="ZZ/CYT – zmiana zm. cytatu np. przysięgi"/>
    <w:basedOn w:val="ZZFRAGzmianazmfragmentunpzdania"/>
    <w:next w:val="ZZUSTzmianazmust"/>
    <w:uiPriority w:val="99"/>
    <w:rsid w:val="008C13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8C134C"/>
    <w:pPr>
      <w:ind w:left="1780"/>
    </w:pPr>
  </w:style>
  <w:style w:type="paragraph" w:styleId="Akapitzlist">
    <w:name w:val="List Paragraph"/>
    <w:basedOn w:val="Normalny"/>
    <w:uiPriority w:val="34"/>
    <w:qFormat/>
    <w:rsid w:val="0068611A"/>
    <w:pPr>
      <w:ind w:left="708"/>
    </w:pPr>
  </w:style>
  <w:style w:type="character" w:styleId="Odwoaniedokomentarza">
    <w:name w:val="annotation reference"/>
    <w:uiPriority w:val="99"/>
    <w:semiHidden/>
    <w:rsid w:val="001E4EA2"/>
    <w:rPr>
      <w:rFonts w:cs="Times New Roman"/>
      <w:sz w:val="16"/>
      <w:szCs w:val="16"/>
    </w:rPr>
  </w:style>
  <w:style w:type="paragraph" w:styleId="Tekstkomentarza">
    <w:name w:val="annotation text"/>
    <w:basedOn w:val="Normalny"/>
    <w:link w:val="TekstkomentarzaZnak"/>
    <w:uiPriority w:val="99"/>
    <w:semiHidden/>
    <w:rsid w:val="001E4EA2"/>
    <w:pPr>
      <w:spacing w:line="240" w:lineRule="auto"/>
    </w:pPr>
    <w:rPr>
      <w:sz w:val="20"/>
      <w:szCs w:val="20"/>
    </w:rPr>
  </w:style>
  <w:style w:type="character" w:customStyle="1" w:styleId="TekstkomentarzaZnak">
    <w:name w:val="Tekst komentarza Znak"/>
    <w:link w:val="Tekstkomentarza"/>
    <w:uiPriority w:val="99"/>
    <w:semiHidden/>
    <w:locked/>
    <w:rsid w:val="001E4EA2"/>
    <w:rPr>
      <w:rFonts w:ascii="Calibri" w:hAnsi="Calibri" w:cs="Times New Roman"/>
    </w:rPr>
  </w:style>
  <w:style w:type="paragraph" w:styleId="Tematkomentarza">
    <w:name w:val="annotation subject"/>
    <w:basedOn w:val="Tekstkomentarza"/>
    <w:next w:val="Tekstkomentarza"/>
    <w:link w:val="TematkomentarzaZnak"/>
    <w:uiPriority w:val="99"/>
    <w:semiHidden/>
    <w:rsid w:val="001E4EA2"/>
    <w:rPr>
      <w:b/>
      <w:bCs/>
    </w:rPr>
  </w:style>
  <w:style w:type="character" w:customStyle="1" w:styleId="TematkomentarzaZnak">
    <w:name w:val="Temat komentarza Znak"/>
    <w:link w:val="Tematkomentarza"/>
    <w:uiPriority w:val="99"/>
    <w:semiHidden/>
    <w:locked/>
    <w:rsid w:val="001E4EA2"/>
    <w:rPr>
      <w:rFonts w:ascii="Calibri" w:hAnsi="Calibri" w:cs="Times New Roman"/>
      <w:b/>
      <w:bCs/>
    </w:rPr>
  </w:style>
  <w:style w:type="paragraph" w:styleId="Tekstdymka">
    <w:name w:val="Balloon Text"/>
    <w:basedOn w:val="Normalny"/>
    <w:link w:val="TekstdymkaZnak"/>
    <w:uiPriority w:val="99"/>
    <w:semiHidden/>
    <w:rsid w:val="001E4EA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E4EA2"/>
    <w:rPr>
      <w:rFonts w:ascii="Segoe UI" w:hAnsi="Segoe UI" w:cs="Segoe UI"/>
      <w:sz w:val="18"/>
      <w:szCs w:val="18"/>
    </w:rPr>
  </w:style>
  <w:style w:type="paragraph" w:customStyle="1" w:styleId="Akapitzlist1">
    <w:name w:val="Akapit z listą1"/>
    <w:basedOn w:val="Normalny"/>
    <w:uiPriority w:val="99"/>
    <w:rsid w:val="00372C0E"/>
    <w:pPr>
      <w:spacing w:after="0" w:line="276" w:lineRule="auto"/>
      <w:ind w:left="720"/>
      <w:contextualSpacing/>
    </w:pPr>
    <w:rPr>
      <w:rFonts w:eastAsia="Times New Roman"/>
    </w:rPr>
  </w:style>
  <w:style w:type="paragraph" w:styleId="Nagwek">
    <w:name w:val="header"/>
    <w:basedOn w:val="Normalny"/>
    <w:link w:val="NagwekZnak"/>
    <w:uiPriority w:val="99"/>
    <w:unhideWhenUsed/>
    <w:rsid w:val="00A9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2C0"/>
    <w:rPr>
      <w:sz w:val="22"/>
      <w:szCs w:val="22"/>
      <w:lang w:eastAsia="en-US"/>
    </w:rPr>
  </w:style>
  <w:style w:type="paragraph" w:styleId="Stopka">
    <w:name w:val="footer"/>
    <w:basedOn w:val="Normalny"/>
    <w:link w:val="StopkaZnak"/>
    <w:uiPriority w:val="99"/>
    <w:unhideWhenUsed/>
    <w:rsid w:val="00A97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2C0"/>
    <w:rPr>
      <w:sz w:val="22"/>
      <w:szCs w:val="22"/>
      <w:lang w:eastAsia="en-US"/>
    </w:rPr>
  </w:style>
  <w:style w:type="paragraph" w:styleId="NormalnyWeb">
    <w:name w:val="Normal (Web)"/>
    <w:basedOn w:val="Normalny"/>
    <w:unhideWhenUsed/>
    <w:qFormat/>
    <w:rsid w:val="0023425F"/>
    <w:rPr>
      <w:rFonts w:ascii="Times New Roman" w:hAnsi="Times New Roman"/>
      <w:sz w:val="24"/>
      <w:szCs w:val="24"/>
    </w:rPr>
  </w:style>
  <w:style w:type="paragraph" w:styleId="Tekstpodstawowy">
    <w:name w:val="Body Text"/>
    <w:basedOn w:val="Normalny"/>
    <w:link w:val="TekstpodstawowyZnak"/>
    <w:uiPriority w:val="99"/>
    <w:semiHidden/>
    <w:unhideWhenUsed/>
    <w:rsid w:val="00552199"/>
    <w:pPr>
      <w:spacing w:after="120"/>
    </w:pPr>
  </w:style>
  <w:style w:type="character" w:customStyle="1" w:styleId="TekstpodstawowyZnak">
    <w:name w:val="Tekst podstawowy Znak"/>
    <w:basedOn w:val="Domylnaczcionkaakapitu"/>
    <w:link w:val="Tekstpodstawowy"/>
    <w:uiPriority w:val="99"/>
    <w:semiHidden/>
    <w:rsid w:val="00552199"/>
    <w:rPr>
      <w:sz w:val="22"/>
      <w:szCs w:val="22"/>
      <w:lang w:eastAsia="en-US"/>
    </w:rPr>
  </w:style>
  <w:style w:type="paragraph" w:styleId="Tekstpodstawowyzwciciem">
    <w:name w:val="Body Text First Indent"/>
    <w:basedOn w:val="Tekstpodstawowy"/>
    <w:link w:val="TekstpodstawowyzwciciemZnak"/>
    <w:uiPriority w:val="99"/>
    <w:unhideWhenUsed/>
    <w:rsid w:val="00552199"/>
    <w:pPr>
      <w:widowControl w:val="0"/>
      <w:spacing w:after="0" w:line="360" w:lineRule="auto"/>
      <w:ind w:firstLine="360"/>
    </w:pPr>
    <w:rPr>
      <w:rFonts w:ascii="Times New Roman" w:eastAsia="Times New Roman" w:hAnsi="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552199"/>
    <w:rPr>
      <w:rFonts w:ascii="Times New Roman" w:eastAsia="Times New Roman" w:hAnsi="Times New Roman"/>
      <w:sz w:val="24"/>
      <w:szCs w:val="24"/>
      <w:lang w:eastAsia="en-US"/>
    </w:rPr>
  </w:style>
  <w:style w:type="character" w:styleId="Pogrubienie">
    <w:name w:val="Strong"/>
    <w:basedOn w:val="Domylnaczcionkaakapitu"/>
    <w:uiPriority w:val="22"/>
    <w:qFormat/>
    <w:locked/>
    <w:rsid w:val="005B4FA1"/>
    <w:rPr>
      <w:b/>
      <w:bCs/>
    </w:rPr>
  </w:style>
  <w:style w:type="paragraph" w:customStyle="1" w:styleId="Default">
    <w:name w:val="Default"/>
    <w:rsid w:val="00830EF7"/>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451"/>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rsid w:val="008C134C"/>
    <w:pPr>
      <w:ind w:left="1497"/>
    </w:pPr>
  </w:style>
  <w:style w:type="paragraph" w:customStyle="1" w:styleId="ZTIRwPKTzmtirwpktartykuempunktem">
    <w:name w:val="Z/TIR_w_PKT – zm. tir. w pkt artykułem (punktem)"/>
    <w:basedOn w:val="TIRtiret"/>
    <w:uiPriority w:val="99"/>
    <w:rsid w:val="008C134C"/>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8C134C"/>
    <w:pPr>
      <w:ind w:left="1021"/>
    </w:pPr>
  </w:style>
  <w:style w:type="paragraph" w:customStyle="1" w:styleId="2TIRpodwjnytiret">
    <w:name w:val="2TIR – podwójny tiret"/>
    <w:basedOn w:val="TIRtiret"/>
    <w:uiPriority w:val="99"/>
    <w:rsid w:val="008C134C"/>
    <w:pPr>
      <w:ind w:left="1780"/>
    </w:pPr>
  </w:style>
  <w:style w:type="paragraph" w:customStyle="1" w:styleId="ARTartustawynprozporzdzenia">
    <w:name w:val="ART(§) – art. ustawy (§ np. rozporządzenia)"/>
    <w:uiPriority w:val="11"/>
    <w:qFormat/>
    <w:rsid w:val="008C134C"/>
    <w:pPr>
      <w:suppressAutoHyphens/>
      <w:autoSpaceDE w:val="0"/>
      <w:autoSpaceDN w:val="0"/>
      <w:adjustRightInd w:val="0"/>
      <w:spacing w:before="120"/>
      <w:ind w:firstLine="510"/>
      <w:jc w:val="both"/>
    </w:pPr>
    <w:rPr>
      <w:rFonts w:eastAsia="Times New Roman" w:cs="Arial"/>
      <w:lang w:eastAsia="en-US"/>
    </w:rPr>
  </w:style>
  <w:style w:type="paragraph" w:customStyle="1" w:styleId="ZCZWSPTIRwPKTzmczciwsptirwpktartykuempunktem">
    <w:name w:val="Z/CZ_WSP_TIR_w_PKT – zm. części wsp. tir. w pkt artykułem (punktem)"/>
    <w:basedOn w:val="CZWSPTIRczwsplnatiret"/>
    <w:next w:val="ZPKTzmpktartykuempunktem"/>
    <w:uiPriority w:val="99"/>
    <w:rsid w:val="008C134C"/>
    <w:pPr>
      <w:ind w:left="1497"/>
    </w:pPr>
  </w:style>
  <w:style w:type="paragraph" w:customStyle="1" w:styleId="ZTIRwLITzmtirwlitartykuempunktem">
    <w:name w:val="Z/TIR_w_LIT – zm. tir. w lit. artykułem (punktem)"/>
    <w:basedOn w:val="TIRtiret"/>
    <w:uiPriority w:val="99"/>
    <w:rsid w:val="008C134C"/>
  </w:style>
  <w:style w:type="paragraph" w:customStyle="1" w:styleId="ZCZWSPTIRwLITzmczciwsptirwlitartykuempunktem">
    <w:name w:val="Z/CZ_WSP_TIR_w_LIT – zm. części wsp. tir. w lit. artykułem (punktem)"/>
    <w:basedOn w:val="CZWSPTIRczwsplnatiret"/>
    <w:next w:val="ZLITzmlitartykuempunktem"/>
    <w:uiPriority w:val="99"/>
    <w:rsid w:val="008C134C"/>
  </w:style>
  <w:style w:type="paragraph" w:customStyle="1" w:styleId="ZPKTzmpktartykuempunktem">
    <w:name w:val="Z/PKT – zm. pkt artykułem (punktem)"/>
    <w:basedOn w:val="PKTpunkt"/>
    <w:uiPriority w:val="99"/>
    <w:rsid w:val="008C134C"/>
    <w:pPr>
      <w:ind w:left="1020"/>
    </w:pPr>
  </w:style>
  <w:style w:type="paragraph" w:customStyle="1" w:styleId="ZARTzmartartykuempunktem">
    <w:name w:val="Z/ART(§) – zm. art. (§) artykułem (punktem)"/>
    <w:basedOn w:val="ARTartustawynprozporzdzenia"/>
    <w:uiPriority w:val="99"/>
    <w:rsid w:val="008C134C"/>
    <w:pPr>
      <w:spacing w:before="0"/>
      <w:ind w:left="510"/>
    </w:pPr>
  </w:style>
  <w:style w:type="paragraph" w:customStyle="1" w:styleId="DATAAKTUdatauchwalenialubwydaniaaktu">
    <w:name w:val="DATA_AKTU – data uchwalenia lub wydania aktu"/>
    <w:next w:val="TYTUAKTUprzedmiotregulacjiustawylubrozporzdzenia"/>
    <w:uiPriority w:val="99"/>
    <w:rsid w:val="008C134C"/>
    <w:pPr>
      <w:keepNext/>
      <w:suppressAutoHyphens/>
      <w:spacing w:before="120" w:after="120"/>
      <w:jc w:val="center"/>
    </w:pPr>
    <w:rPr>
      <w:rFonts w:eastAsia="Times New Roman" w:cs="Arial"/>
      <w:bCs/>
      <w:lang w:eastAsia="en-US"/>
    </w:rPr>
  </w:style>
  <w:style w:type="paragraph" w:customStyle="1" w:styleId="TYTUAKTUprzedmiotregulacjiustawylubrozporzdzenia">
    <w:name w:val="TYTUŁ_AKTU – przedmiot regulacji ustawy lub rozporządzenia"/>
    <w:next w:val="ARTartustawynprozporzdzenia"/>
    <w:uiPriority w:val="99"/>
    <w:rsid w:val="008C134C"/>
    <w:pPr>
      <w:keepNext/>
      <w:suppressAutoHyphens/>
      <w:spacing w:before="120" w:after="360"/>
      <w:jc w:val="center"/>
    </w:pPr>
    <w:rPr>
      <w:rFonts w:eastAsia="Times New Roman" w:cs="Arial"/>
      <w:b/>
      <w:bCs/>
      <w:lang w:eastAsia="en-US"/>
    </w:rPr>
  </w:style>
  <w:style w:type="paragraph" w:customStyle="1" w:styleId="CZKSIGAoznaczenieiprzedmiotczcilubksigi">
    <w:name w:val="CZĘŚĆ(KSIĘGA) – oznaczenie i przedmiot części lub księgi"/>
    <w:next w:val="ARTartustawynprozporzdzenia"/>
    <w:uiPriority w:val="99"/>
    <w:rsid w:val="008C134C"/>
    <w:pPr>
      <w:keepNext/>
      <w:suppressAutoHyphens/>
      <w:spacing w:before="120"/>
      <w:jc w:val="center"/>
    </w:pPr>
    <w:rPr>
      <w:b/>
      <w:bCs/>
      <w:caps/>
      <w:kern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8C134C"/>
    <w:rPr>
      <w:bCs/>
    </w:rPr>
  </w:style>
  <w:style w:type="paragraph" w:customStyle="1" w:styleId="OZNRODZAKTUtznustawalubrozporzdzenieiorganwydajcy">
    <w:name w:val="OZN_RODZ_AKTU – tzn. ustawa lub rozporządzenie i organ wydający"/>
    <w:next w:val="Normalny"/>
    <w:uiPriority w:val="99"/>
    <w:rsid w:val="004368C4"/>
    <w:pPr>
      <w:keepNext/>
      <w:suppressAutoHyphens/>
      <w:spacing w:after="120" w:line="360" w:lineRule="auto"/>
      <w:jc w:val="center"/>
    </w:pPr>
    <w:rPr>
      <w:rFonts w:ascii="Times" w:hAnsi="Times"/>
      <w:b/>
      <w:bCs/>
      <w:caps/>
      <w:spacing w:val="54"/>
      <w:kern w:val="24"/>
      <w:sz w:val="24"/>
      <w:szCs w:val="24"/>
    </w:rPr>
  </w:style>
  <w:style w:type="paragraph" w:customStyle="1" w:styleId="USTustnpkodeksu">
    <w:name w:val="UST(§) – ust. (§ np. kodeksu)"/>
    <w:basedOn w:val="ARTartustawynprozporzdzenia"/>
    <w:uiPriority w:val="12"/>
    <w:qFormat/>
    <w:rsid w:val="008C134C"/>
    <w:pPr>
      <w:spacing w:before="0"/>
    </w:pPr>
    <w:rPr>
      <w:bCs/>
    </w:rPr>
  </w:style>
  <w:style w:type="paragraph" w:customStyle="1" w:styleId="PKTpunkt">
    <w:name w:val="PKT – punkt"/>
    <w:uiPriority w:val="99"/>
    <w:rsid w:val="008C134C"/>
    <w:pPr>
      <w:ind w:left="510" w:hanging="510"/>
      <w:jc w:val="both"/>
    </w:pPr>
    <w:rPr>
      <w:rFonts w:eastAsia="Times New Roman" w:cs="Arial"/>
      <w:bCs/>
      <w:lang w:eastAsia="en-US"/>
    </w:rPr>
  </w:style>
  <w:style w:type="paragraph" w:customStyle="1" w:styleId="CZWSPPKTczwsplnapunktw">
    <w:name w:val="CZ_WSP_PKT – część wspólna punktów"/>
    <w:basedOn w:val="PKTpunkt"/>
    <w:next w:val="USTustnpkodeksu"/>
    <w:uiPriority w:val="99"/>
    <w:rsid w:val="008C134C"/>
    <w:pPr>
      <w:ind w:left="0" w:firstLine="0"/>
    </w:pPr>
  </w:style>
  <w:style w:type="paragraph" w:customStyle="1" w:styleId="LITlitera">
    <w:name w:val="LIT – litera"/>
    <w:basedOn w:val="PKTpunkt"/>
    <w:uiPriority w:val="99"/>
    <w:rsid w:val="008C134C"/>
    <w:pPr>
      <w:ind w:left="986" w:hanging="476"/>
    </w:pPr>
  </w:style>
  <w:style w:type="paragraph" w:customStyle="1" w:styleId="CZWSPLITczwsplnaliter">
    <w:name w:val="CZ_WSP_LIT – część wspólna liter"/>
    <w:basedOn w:val="LITlitera"/>
    <w:next w:val="USTustnpkodeksu"/>
    <w:uiPriority w:val="99"/>
    <w:rsid w:val="008C134C"/>
    <w:pPr>
      <w:ind w:left="510" w:firstLine="0"/>
    </w:pPr>
    <w:rPr>
      <w:szCs w:val="24"/>
    </w:rPr>
  </w:style>
  <w:style w:type="paragraph" w:customStyle="1" w:styleId="TIRtiret">
    <w:name w:val="TIR – tiret"/>
    <w:basedOn w:val="LITlitera"/>
    <w:uiPriority w:val="99"/>
    <w:rsid w:val="008C134C"/>
    <w:pPr>
      <w:ind w:left="1384" w:hanging="397"/>
    </w:pPr>
  </w:style>
  <w:style w:type="paragraph" w:customStyle="1" w:styleId="CZWSPTIRczwsplnatiret">
    <w:name w:val="CZ_WSP_TIR – część wspólna tiret"/>
    <w:basedOn w:val="TIRtiret"/>
    <w:next w:val="USTustnpkodeksu"/>
    <w:uiPriority w:val="99"/>
    <w:rsid w:val="008C134C"/>
    <w:pPr>
      <w:ind w:left="987" w:firstLine="0"/>
    </w:pPr>
  </w:style>
  <w:style w:type="paragraph" w:customStyle="1" w:styleId="CYTcytatnpprzysigi">
    <w:name w:val="CYT – cytat np. przysięgi"/>
    <w:basedOn w:val="USTustnpkodeksu"/>
    <w:next w:val="USTustnpkodeksu"/>
    <w:uiPriority w:val="99"/>
    <w:rsid w:val="008C13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8C134C"/>
    <w:pPr>
      <w:keepNext/>
      <w:suppressAutoHyphens/>
      <w:spacing w:before="120"/>
      <w:jc w:val="center"/>
    </w:pPr>
    <w:rPr>
      <w:rFonts w:eastAsia="Times New Roman"/>
      <w:b/>
      <w:bCs/>
      <w:lang w:eastAsia="en-US"/>
    </w:rPr>
  </w:style>
  <w:style w:type="paragraph" w:customStyle="1" w:styleId="ZLITzmlitartykuempunktem">
    <w:name w:val="Z/LIT – zm. lit. artykułem (punktem)"/>
    <w:basedOn w:val="LITlitera"/>
    <w:uiPriority w:val="99"/>
    <w:rsid w:val="008C134C"/>
  </w:style>
  <w:style w:type="paragraph" w:customStyle="1" w:styleId="ZLITCZWSPTIRwLITzmczciwsptirwlitliter">
    <w:name w:val="Z_LIT/CZ_WSP_TIR_w_LIT – zm. części wsp. tir. w lit. literą"/>
    <w:basedOn w:val="CZWSPTIRczwsplnatiret"/>
    <w:next w:val="LITlitera"/>
    <w:uiPriority w:val="99"/>
    <w:rsid w:val="008C134C"/>
    <w:pPr>
      <w:ind w:left="1463"/>
    </w:pPr>
  </w:style>
  <w:style w:type="paragraph" w:customStyle="1" w:styleId="ZLITTIRwLITzmtirwlitliter">
    <w:name w:val="Z_LIT/TIR_w_LIT – zm. tir. w lit. literą"/>
    <w:basedOn w:val="TIRtiret"/>
    <w:uiPriority w:val="99"/>
    <w:rsid w:val="008C134C"/>
    <w:pPr>
      <w:ind w:left="1860"/>
    </w:pPr>
  </w:style>
  <w:style w:type="paragraph" w:customStyle="1" w:styleId="TYTDZOZNoznaczenietytuulubdziau">
    <w:name w:val="TYT(DZ)_OZN – oznaczenie tytułu lub działu"/>
    <w:next w:val="Normalny"/>
    <w:uiPriority w:val="99"/>
    <w:rsid w:val="008C134C"/>
    <w:pPr>
      <w:keepNext/>
      <w:spacing w:before="120"/>
      <w:jc w:val="center"/>
    </w:pPr>
    <w:rPr>
      <w:rFonts w:eastAsia="Times New Roman" w:cs="Arial"/>
      <w:bCs/>
      <w:caps/>
      <w:kern w:val="24"/>
      <w:lang w:eastAsia="en-US"/>
    </w:rPr>
  </w:style>
  <w:style w:type="paragraph" w:customStyle="1" w:styleId="ZWMATFIZCHEMzmwzorumatfizlubchemartykuempunktem">
    <w:name w:val="Z/W_MAT(FIZ|CHEM) – zm. wzoru mat. (fiz. lub chem.) artykułem (punktem)"/>
    <w:basedOn w:val="WMATFIZCHEMwzrmatfizlubchem"/>
    <w:uiPriority w:val="99"/>
    <w:rsid w:val="008C134C"/>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8C13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8C134C"/>
    <w:pPr>
      <w:keepNext/>
      <w:suppressAutoHyphens/>
      <w:ind w:left="510"/>
      <w:jc w:val="center"/>
    </w:pPr>
    <w:rPr>
      <w:szCs w:val="26"/>
      <w:lang w:eastAsia="en-US"/>
    </w:rPr>
  </w:style>
  <w:style w:type="paragraph" w:customStyle="1" w:styleId="ZTIRzmtirartykuempunktem">
    <w:name w:val="Z/TIR – zm. tir. artykułem (punktem)"/>
    <w:basedOn w:val="TIRtiret"/>
    <w:next w:val="PKTpunkt"/>
    <w:uiPriority w:val="99"/>
    <w:rsid w:val="008C134C"/>
    <w:pPr>
      <w:ind w:left="907"/>
    </w:pPr>
  </w:style>
  <w:style w:type="paragraph" w:customStyle="1" w:styleId="ZCZWSPPKTzmczciwsppktartykuempunktem">
    <w:name w:val="Z/CZ_WSP_PKT – zm. części wsp. pkt artykułem (punktem)"/>
    <w:basedOn w:val="CZWSPPKTczwsplnapunktw"/>
    <w:next w:val="ZARTzmartartykuempunktem"/>
    <w:uiPriority w:val="99"/>
    <w:rsid w:val="008C134C"/>
    <w:pPr>
      <w:ind w:left="510"/>
    </w:pPr>
  </w:style>
  <w:style w:type="paragraph" w:customStyle="1" w:styleId="ZZLITzmianazmlit">
    <w:name w:val="ZZ/LIT – zmiana zm. lit."/>
    <w:basedOn w:val="ZZPKTzmianazmpkt"/>
    <w:uiPriority w:val="99"/>
    <w:rsid w:val="008C134C"/>
    <w:pPr>
      <w:ind w:left="2370" w:hanging="476"/>
    </w:pPr>
  </w:style>
  <w:style w:type="paragraph" w:customStyle="1" w:styleId="ZZTIRzmianazmtir">
    <w:name w:val="ZZ/TIR – zmiana zm. tir."/>
    <w:basedOn w:val="ZZLITzmianazmlit"/>
    <w:uiPriority w:val="99"/>
    <w:rsid w:val="008C13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8C134C"/>
    <w:pPr>
      <w:keepNext/>
      <w:suppressAutoHyphens/>
      <w:ind w:left="510"/>
      <w:jc w:val="center"/>
    </w:pPr>
    <w:rPr>
      <w:rFonts w:eastAsia="Times New Roman" w:cs="Arial"/>
      <w:bCs/>
      <w:kern w:val="24"/>
      <w:lang w:eastAsia="en-US"/>
    </w:rPr>
  </w:style>
  <w:style w:type="paragraph" w:customStyle="1" w:styleId="ZLITUSTzmustliter">
    <w:name w:val="Z_LIT/UST(§) – zm. ust. (§) literą"/>
    <w:basedOn w:val="USTustnpkodeksu"/>
    <w:uiPriority w:val="99"/>
    <w:rsid w:val="008C134C"/>
    <w:pPr>
      <w:ind w:left="987"/>
    </w:pPr>
  </w:style>
  <w:style w:type="paragraph" w:customStyle="1" w:styleId="ZLITPKTzmpktliter">
    <w:name w:val="Z_LIT/PKT – zm. pkt literą"/>
    <w:basedOn w:val="PKTpunkt"/>
    <w:uiPriority w:val="99"/>
    <w:rsid w:val="008C134C"/>
    <w:pPr>
      <w:ind w:left="1497"/>
    </w:pPr>
  </w:style>
  <w:style w:type="paragraph" w:customStyle="1" w:styleId="ZZCZWSPPKTzmianazmczciwsppkt">
    <w:name w:val="ZZ/CZ_WSP_PKT – zmiana. zm. części wsp. pkt"/>
    <w:basedOn w:val="ZZARTzmianazmart"/>
    <w:next w:val="ZPKTzmpktartykuempunktem"/>
    <w:uiPriority w:val="99"/>
    <w:rsid w:val="008C134C"/>
    <w:pPr>
      <w:ind w:firstLine="0"/>
    </w:pPr>
  </w:style>
  <w:style w:type="paragraph" w:customStyle="1" w:styleId="ZLITLITzmlitliter">
    <w:name w:val="Z_LIT/LIT – zm. lit. literą"/>
    <w:basedOn w:val="LITlitera"/>
    <w:uiPriority w:val="99"/>
    <w:rsid w:val="008C134C"/>
    <w:pPr>
      <w:ind w:left="1463"/>
    </w:pPr>
  </w:style>
  <w:style w:type="paragraph" w:customStyle="1" w:styleId="ZLITCZWSPPKTzmczciwsppktliter">
    <w:name w:val="Z_LIT/CZ_WSP_PKT – zm. części wsp. pkt literą"/>
    <w:basedOn w:val="CZWSPLITczwsplnaliter"/>
    <w:next w:val="LITlitera"/>
    <w:uiPriority w:val="99"/>
    <w:rsid w:val="008C134C"/>
    <w:pPr>
      <w:ind w:left="987"/>
    </w:pPr>
  </w:style>
  <w:style w:type="paragraph" w:customStyle="1" w:styleId="ZLITTIRzmtirliter">
    <w:name w:val="Z_LIT/TIR – zm. tir. literą"/>
    <w:basedOn w:val="TIRtiret"/>
    <w:uiPriority w:val="99"/>
    <w:rsid w:val="008C134C"/>
  </w:style>
  <w:style w:type="paragraph" w:customStyle="1" w:styleId="ZZCZWSPLITwPKTzmianazmczciwsplitwpkt">
    <w:name w:val="ZZ/CZ_WSP_LIT_w_PKT – zmiana zm. części wsp. lit. w pkt"/>
    <w:basedOn w:val="ZZLITwPKTzmianazmlitwpkt"/>
    <w:uiPriority w:val="99"/>
    <w:rsid w:val="008C134C"/>
    <w:pPr>
      <w:ind w:left="2404" w:firstLine="0"/>
    </w:pPr>
  </w:style>
  <w:style w:type="paragraph" w:customStyle="1" w:styleId="ZLITLITwPKTzmlitwpktliter">
    <w:name w:val="Z_LIT/LIT_w_PKT – zm. lit. w pkt literą"/>
    <w:basedOn w:val="LITlitera"/>
    <w:uiPriority w:val="99"/>
    <w:rsid w:val="008C134C"/>
    <w:pPr>
      <w:ind w:left="1973"/>
    </w:pPr>
  </w:style>
  <w:style w:type="paragraph" w:customStyle="1" w:styleId="ZLITCZWSPLITwPKTzmczciwsplitwpktliter">
    <w:name w:val="Z_LIT/CZ_WSP_LIT_w_PKT – zm. części wsp. lit. w pkt literą"/>
    <w:basedOn w:val="CZWSPLITczwsplnaliter"/>
    <w:next w:val="LITlitera"/>
    <w:uiPriority w:val="99"/>
    <w:rsid w:val="008C134C"/>
    <w:pPr>
      <w:ind w:left="1497"/>
    </w:pPr>
  </w:style>
  <w:style w:type="paragraph" w:customStyle="1" w:styleId="ZLITTIRwPKTzmtirwpktliter">
    <w:name w:val="Z_LIT/TIR_w_PKT – zm. tir. w pkt literą"/>
    <w:basedOn w:val="TIRtiret"/>
    <w:uiPriority w:val="99"/>
    <w:rsid w:val="008C134C"/>
    <w:pPr>
      <w:ind w:left="2370"/>
    </w:pPr>
  </w:style>
  <w:style w:type="paragraph" w:customStyle="1" w:styleId="ZLITCZWSPTIRwPKTzmczciwsptirwpktliter">
    <w:name w:val="Z_LIT/CZ_WSP_TIR_w_PKT – zm. części wsp. tir. w pkt literą"/>
    <w:basedOn w:val="CZWSPTIRczwsplnatiret"/>
    <w:next w:val="LITlitera"/>
    <w:uiPriority w:val="99"/>
    <w:rsid w:val="008C134C"/>
    <w:pPr>
      <w:ind w:left="1973"/>
    </w:pPr>
  </w:style>
  <w:style w:type="paragraph" w:customStyle="1" w:styleId="ZTIRLITzmlittiret">
    <w:name w:val="Z_TIR/LIT – zm. lit. tiret"/>
    <w:basedOn w:val="LITlitera"/>
    <w:uiPriority w:val="99"/>
    <w:rsid w:val="008C134C"/>
    <w:pPr>
      <w:ind w:left="1859"/>
    </w:pPr>
  </w:style>
  <w:style w:type="paragraph" w:customStyle="1" w:styleId="ZTIRCZWSPPKTzmczciwsppkttiret">
    <w:name w:val="Z_TIR/CZ_WSP_PKT – zm. części wsp. pkt tiret"/>
    <w:basedOn w:val="CZWSPLITczwsplnaliter"/>
    <w:next w:val="TIRtiret"/>
    <w:uiPriority w:val="99"/>
    <w:rsid w:val="008C134C"/>
    <w:pPr>
      <w:ind w:left="1383"/>
    </w:pPr>
  </w:style>
  <w:style w:type="paragraph" w:customStyle="1" w:styleId="ZTIRTIRzmtirtiret">
    <w:name w:val="Z_TIR/TIR – zm. tir. tiret"/>
    <w:basedOn w:val="TIRtiret"/>
    <w:uiPriority w:val="99"/>
    <w:rsid w:val="008C134C"/>
    <w:pPr>
      <w:ind w:left="1780"/>
    </w:pPr>
  </w:style>
  <w:style w:type="paragraph" w:customStyle="1" w:styleId="ZZCZWSPTIRwPKTzmianazmczciwsptirwpkt">
    <w:name w:val="ZZ/CZ_WSP_TIR_w_PKT – zmiana zm. części wsp. tir. w pkt"/>
    <w:basedOn w:val="ZZTIRwPKTzmianazmtirwpkt"/>
    <w:uiPriority w:val="99"/>
    <w:rsid w:val="008C134C"/>
    <w:pPr>
      <w:ind w:left="2880" w:firstLine="0"/>
    </w:pPr>
  </w:style>
  <w:style w:type="paragraph" w:customStyle="1" w:styleId="ZZTIRwLITzmianazmtirwlit">
    <w:name w:val="ZZ/TIR_w_LIT – zmiana zm. tir. w lit."/>
    <w:basedOn w:val="ZZTIRzmianazmtir"/>
    <w:uiPriority w:val="99"/>
    <w:rsid w:val="008C134C"/>
    <w:pPr>
      <w:ind w:left="2767"/>
    </w:pPr>
  </w:style>
  <w:style w:type="paragraph" w:customStyle="1" w:styleId="ZTIRTIRwLITzmtirwlittiret">
    <w:name w:val="Z_TIR/TIR_w_LIT – zm. tir. w lit. tiret"/>
    <w:basedOn w:val="TIRtiret"/>
    <w:uiPriority w:val="99"/>
    <w:rsid w:val="008C134C"/>
    <w:pPr>
      <w:ind w:left="2257"/>
    </w:pPr>
  </w:style>
  <w:style w:type="paragraph" w:customStyle="1" w:styleId="ZTIRCZWSPTIRwLITzmczciwsptirwlittiret">
    <w:name w:val="Z_TIR/CZ_WSP_TIR_w_LIT – zm. części wsp. tir. w lit. tiret"/>
    <w:basedOn w:val="CZWSPTIRczwsplnatiret"/>
    <w:next w:val="TIRtiret"/>
    <w:uiPriority w:val="99"/>
    <w:rsid w:val="008C134C"/>
    <w:pPr>
      <w:ind w:left="1860"/>
    </w:pPr>
  </w:style>
  <w:style w:type="paragraph" w:customStyle="1" w:styleId="CZWSP2TIRczwsplnapodwjnychtiret">
    <w:name w:val="CZ_WSP_2TIR – część wspólna podwójnych tiret"/>
    <w:basedOn w:val="CZWSPTIRczwsplnatiret"/>
    <w:next w:val="TIRtiret"/>
    <w:uiPriority w:val="99"/>
    <w:rsid w:val="008C134C"/>
    <w:pPr>
      <w:ind w:left="1780"/>
    </w:pPr>
  </w:style>
  <w:style w:type="paragraph" w:customStyle="1" w:styleId="Z2TIRzmpodwtirartykuempunktem">
    <w:name w:val="Z/2TIR – zm. podw. tir. artykułem (punktem)"/>
    <w:basedOn w:val="TIRtiret"/>
    <w:uiPriority w:val="99"/>
    <w:rsid w:val="008C134C"/>
    <w:pPr>
      <w:ind w:left="907"/>
    </w:pPr>
  </w:style>
  <w:style w:type="paragraph" w:customStyle="1" w:styleId="ZZCZWSPTIRwLITzmianazmczciwsptirwlit">
    <w:name w:val="ZZ/CZ_WSP_TIR_w_LIT – zmiana zm. części wsp. tir. w lit."/>
    <w:basedOn w:val="ZZTIRwLITzmianazmtirwlit"/>
    <w:uiPriority w:val="99"/>
    <w:rsid w:val="008C134C"/>
    <w:pPr>
      <w:ind w:left="2370" w:firstLine="0"/>
    </w:pPr>
  </w:style>
  <w:style w:type="paragraph" w:customStyle="1" w:styleId="ZLIT2TIRzmpodwtirliter">
    <w:name w:val="Z_LIT/2TIR – zm. podw. tir. literą"/>
    <w:basedOn w:val="TIRtiret"/>
    <w:uiPriority w:val="99"/>
    <w:rsid w:val="008C134C"/>
  </w:style>
  <w:style w:type="paragraph" w:customStyle="1" w:styleId="ZTIR2TIRzmpodwtirtiret">
    <w:name w:val="Z_TIR/2TIR – zm. podw. tir. tiret"/>
    <w:basedOn w:val="TIRtiret"/>
    <w:uiPriority w:val="99"/>
    <w:rsid w:val="008C134C"/>
    <w:pPr>
      <w:ind w:left="1780"/>
    </w:pPr>
  </w:style>
  <w:style w:type="paragraph" w:customStyle="1" w:styleId="Z2TIRCZWSPLITzmczciwsplitpodwjnymtiret">
    <w:name w:val="Z_2TIR/CZ_WSP_LIT – zm. części wsp. lit. podwójnym tiret"/>
    <w:basedOn w:val="CZWSPTIRczwsplnatiret"/>
    <w:next w:val="2TIRpodwjnytiret"/>
    <w:uiPriority w:val="99"/>
    <w:rsid w:val="008C134C"/>
    <w:pPr>
      <w:ind w:left="1780"/>
    </w:pPr>
  </w:style>
  <w:style w:type="paragraph" w:customStyle="1" w:styleId="Z2TIRwPKTzmpodwtirwpktartykuempunktem">
    <w:name w:val="Z/2TIR_w_PKT – zm. podw. tir. w pkt artykułem (punktem)"/>
    <w:basedOn w:val="TIRtiret"/>
    <w:next w:val="ZPKTzmpktartykuempunktem"/>
    <w:uiPriority w:val="99"/>
    <w:rsid w:val="008C134C"/>
    <w:pPr>
      <w:ind w:left="2291"/>
    </w:pPr>
  </w:style>
  <w:style w:type="paragraph" w:customStyle="1" w:styleId="ZTIRPKTzmpkttiret">
    <w:name w:val="Z_TIR/PKT – zm. pkt tiret"/>
    <w:basedOn w:val="PKTpunkt"/>
    <w:uiPriority w:val="99"/>
    <w:rsid w:val="008C134C"/>
    <w:pPr>
      <w:ind w:left="1893"/>
    </w:pPr>
  </w:style>
  <w:style w:type="paragraph" w:customStyle="1" w:styleId="ZTIRLITwPKTzmlitwpkttiret">
    <w:name w:val="Z_TIR/LIT_w_PKT – zm. lit. w pkt tiret"/>
    <w:basedOn w:val="LITlitera"/>
    <w:uiPriority w:val="99"/>
    <w:rsid w:val="008C134C"/>
    <w:pPr>
      <w:ind w:left="2336"/>
    </w:pPr>
  </w:style>
  <w:style w:type="paragraph" w:customStyle="1" w:styleId="ZTIRCZWSPLITwPKTzmczciwsplitwpkttiret">
    <w:name w:val="Z_TIR/CZ_WSP_LIT_w_PKT – zm. części wsp. lit. w pkt tiret"/>
    <w:basedOn w:val="CZWSPLITczwsplnaliter"/>
    <w:uiPriority w:val="99"/>
    <w:rsid w:val="008C134C"/>
    <w:pPr>
      <w:ind w:left="1860"/>
    </w:pPr>
  </w:style>
  <w:style w:type="paragraph" w:customStyle="1" w:styleId="ZTIR2TIRwLITzmpodwtirwlittiret">
    <w:name w:val="Z_TIR/2TIR_w_LIT – zm. podw. tir. w lit. tiret"/>
    <w:basedOn w:val="TIRtiret"/>
    <w:uiPriority w:val="99"/>
    <w:rsid w:val="008C134C"/>
    <w:pPr>
      <w:ind w:left="2654"/>
    </w:pPr>
  </w:style>
  <w:style w:type="paragraph" w:customStyle="1" w:styleId="ZTIRCZWSP2TIRwLITzmczciwsppodwtirwlittiret">
    <w:name w:val="Z_TIR/CZ_WSP_2TIR_w_LIT – zm. części wsp. podw. tir. w lit. tiret"/>
    <w:basedOn w:val="CZWSPTIRczwsplnatiret"/>
    <w:next w:val="TIRtiret"/>
    <w:uiPriority w:val="99"/>
    <w:rsid w:val="008C134C"/>
    <w:pPr>
      <w:ind w:left="2257"/>
    </w:pPr>
  </w:style>
  <w:style w:type="paragraph" w:customStyle="1" w:styleId="ZTIR2TIRwTIRzmpodwtirwtirtiret">
    <w:name w:val="Z_TIR/2TIR_w_TIR – zm. podw. tir. w tir. tiret"/>
    <w:basedOn w:val="TIRtiret"/>
    <w:uiPriority w:val="99"/>
    <w:rsid w:val="008C134C"/>
    <w:pPr>
      <w:ind w:left="2177"/>
    </w:pPr>
  </w:style>
  <w:style w:type="paragraph" w:customStyle="1" w:styleId="ZTIRCZWSP2TIRwTIRzmczciwsppodwtirwtirtiret">
    <w:name w:val="Z_TIR/CZ_WSP_2TIR_w_TIR – zm. części wsp. podw. tir. w tir. tiret"/>
    <w:basedOn w:val="CZWSPTIRczwsplnatiret"/>
    <w:uiPriority w:val="99"/>
    <w:rsid w:val="008C134C"/>
    <w:pPr>
      <w:ind w:left="1780"/>
    </w:pPr>
  </w:style>
  <w:style w:type="paragraph" w:customStyle="1" w:styleId="Z2TIRLITzmlitpodwjnymtiret">
    <w:name w:val="Z_2TIR/LIT – zm. lit. podwójnym tiret"/>
    <w:basedOn w:val="LITlitera"/>
    <w:uiPriority w:val="99"/>
    <w:rsid w:val="008C134C"/>
    <w:pPr>
      <w:ind w:left="2256"/>
    </w:pPr>
  </w:style>
  <w:style w:type="paragraph" w:customStyle="1" w:styleId="ZZ2TIRwTIRzmianazmpodwtirwtir">
    <w:name w:val="ZZ/2TIR_w_TIR – zmiana zm. podw. tir. w tir."/>
    <w:basedOn w:val="ZZCZWSP2TIRzmianazmczciwsppodwtir"/>
    <w:uiPriority w:val="99"/>
    <w:rsid w:val="008C134C"/>
    <w:pPr>
      <w:ind w:left="2688" w:hanging="397"/>
    </w:pPr>
  </w:style>
  <w:style w:type="paragraph" w:customStyle="1" w:styleId="ZZ2TIRwLITzmianazmpodwtirwlit">
    <w:name w:val="ZZ/2TIR_w_LIT – zmiana zm. podw. tir. w lit."/>
    <w:basedOn w:val="ZZ2TIRwTIRzmianazmpodwtirwtir"/>
    <w:uiPriority w:val="99"/>
    <w:rsid w:val="008C134C"/>
    <w:pPr>
      <w:ind w:left="3164"/>
    </w:pPr>
  </w:style>
  <w:style w:type="paragraph" w:customStyle="1" w:styleId="Z2TIRTIRwLITzmtirwlitpodwjnymtiret">
    <w:name w:val="Z_2TIR/TIR_w_LIT – zm. tir. w lit. podwójnym tiret"/>
    <w:basedOn w:val="TIRtiret"/>
    <w:uiPriority w:val="99"/>
    <w:rsid w:val="008C13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8C134C"/>
    <w:pPr>
      <w:ind w:left="2257"/>
    </w:pPr>
  </w:style>
  <w:style w:type="paragraph" w:customStyle="1" w:styleId="ZZ2TIRwPKTzmianazmpodwtirwpkt">
    <w:name w:val="ZZ/2TIR_w_PKT – zmiana zm. podw. tir. w pkt"/>
    <w:basedOn w:val="ZZ2TIRwLITzmianazmpodwtirwlit"/>
    <w:uiPriority w:val="99"/>
    <w:rsid w:val="008C134C"/>
    <w:pPr>
      <w:ind w:left="3674"/>
    </w:pPr>
  </w:style>
  <w:style w:type="paragraph" w:customStyle="1" w:styleId="ZZCZWSP2TIRwTIRzmianazmczciwsppodwtirwtir">
    <w:name w:val="ZZ/CZ_WSP_2TIR_w_TIR – zmiana zm. części wsp. podw. tir. w tir."/>
    <w:basedOn w:val="ZZ2TIRwLITzmianazmpodwtirwlit"/>
    <w:uiPriority w:val="99"/>
    <w:rsid w:val="008C134C"/>
    <w:pPr>
      <w:ind w:left="2291" w:firstLine="0"/>
    </w:pPr>
  </w:style>
  <w:style w:type="paragraph" w:customStyle="1" w:styleId="Z2TIR2TIRwTIRzmpodwtirwtirpodwjnymtiret">
    <w:name w:val="Z_2TIR/2TIR_w_TIR – zm. podw. tir. w tir. podwójnym tiret"/>
    <w:basedOn w:val="TIRtiret"/>
    <w:uiPriority w:val="99"/>
    <w:rsid w:val="008C13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8C134C"/>
    <w:pPr>
      <w:ind w:left="2177"/>
    </w:pPr>
  </w:style>
  <w:style w:type="paragraph" w:customStyle="1" w:styleId="Z2TIR2TIRwLITzmpodwtirwlitpodwjnymtiret">
    <w:name w:val="Z_2TIR/2TIR_w_LIT – zm. podw. tir. w lit. podwójnym tiret"/>
    <w:basedOn w:val="TIRtiret"/>
    <w:uiPriority w:val="99"/>
    <w:rsid w:val="008C13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8C13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8C134C"/>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8C134C"/>
    <w:pPr>
      <w:spacing w:after="120"/>
      <w:ind w:left="510"/>
    </w:pPr>
    <w:rPr>
      <w:b w:val="0"/>
    </w:rPr>
  </w:style>
  <w:style w:type="paragraph" w:customStyle="1" w:styleId="ZZARTzmianazmart">
    <w:name w:val="ZZ/ART(§) – zmiana zm. art. (§)"/>
    <w:basedOn w:val="ZARTzmartartykuempunktem"/>
    <w:uiPriority w:val="99"/>
    <w:rsid w:val="008C134C"/>
    <w:pPr>
      <w:ind w:left="1894"/>
    </w:pPr>
  </w:style>
  <w:style w:type="paragraph" w:customStyle="1" w:styleId="ZZPKTzmianazmpkt">
    <w:name w:val="ZZ/PKT – zmiana zm. pkt"/>
    <w:basedOn w:val="ZPKTzmpktartykuempunktem"/>
    <w:uiPriority w:val="99"/>
    <w:rsid w:val="008C134C"/>
    <w:pPr>
      <w:ind w:left="2404"/>
    </w:pPr>
  </w:style>
  <w:style w:type="paragraph" w:customStyle="1" w:styleId="ZZLITwPKTzmianazmlitwpkt">
    <w:name w:val="ZZ/LIT_w_PKT – zmiana zm. lit. w pkt"/>
    <w:basedOn w:val="ZLITwPKTzmlitwpktartykuempunktem"/>
    <w:uiPriority w:val="99"/>
    <w:rsid w:val="008C134C"/>
    <w:pPr>
      <w:ind w:left="2880"/>
    </w:pPr>
  </w:style>
  <w:style w:type="paragraph" w:customStyle="1" w:styleId="ZZTIRwPKTzmianazmtirwpkt">
    <w:name w:val="ZZ/TIR_w_PKT – zmiana zm. tir. w pkt"/>
    <w:basedOn w:val="ZTIRwPKTzmtirwpktartykuempunktem"/>
    <w:uiPriority w:val="99"/>
    <w:rsid w:val="008C134C"/>
    <w:pPr>
      <w:ind w:left="3277"/>
    </w:pPr>
  </w:style>
  <w:style w:type="paragraph" w:customStyle="1" w:styleId="ZZWMATFIZCHEMzmwzorumatfizlubchem">
    <w:name w:val="ZZ/W_MAT(FIZ|CHEM) – zm. wzoru mat. (fiz. lub chem.)"/>
    <w:basedOn w:val="ZWMATFIZCHEMzmwzorumatfizlubchemartykuempunktem"/>
    <w:uiPriority w:val="99"/>
    <w:rsid w:val="008C134C"/>
    <w:pPr>
      <w:ind w:left="2404"/>
    </w:pPr>
  </w:style>
  <w:style w:type="paragraph" w:customStyle="1" w:styleId="ODNONIKtreodnonika">
    <w:name w:val="ODNOŚNIK – treść odnośnika"/>
    <w:uiPriority w:val="99"/>
    <w:rsid w:val="004368C4"/>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99"/>
    <w:rsid w:val="008C13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8C13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8C134C"/>
    <w:rPr>
      <w:rFonts w:ascii="Times New Roman" w:hAnsi="Times New Roman"/>
    </w:rPr>
  </w:style>
  <w:style w:type="paragraph" w:customStyle="1" w:styleId="ZTIRTIRwPKTzmtirwpkttiret">
    <w:name w:val="Z_TIR/TIR_w_PKT – zm. tir. w pkt tiret"/>
    <w:basedOn w:val="ZTIRTIRwLITzmtirwlittiret"/>
    <w:uiPriority w:val="99"/>
    <w:rsid w:val="008C134C"/>
    <w:pPr>
      <w:ind w:left="2733"/>
    </w:pPr>
  </w:style>
  <w:style w:type="paragraph" w:customStyle="1" w:styleId="ZTIRCZWSPTIRwPKTzmczciwsptirtiret">
    <w:name w:val="Z_TIR/CZ_WSP_TIR_w_PKT – zm. części wsp. tir. tiret"/>
    <w:basedOn w:val="ZTIRTIRwPKTzmtirwpkttiret"/>
    <w:next w:val="TIRtiret"/>
    <w:uiPriority w:val="99"/>
    <w:rsid w:val="008C13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8C134C"/>
    <w:pPr>
      <w:ind w:left="510" w:firstLine="0"/>
    </w:pPr>
  </w:style>
  <w:style w:type="paragraph" w:customStyle="1" w:styleId="ROZDZODDZOZNoznaczenierozdziauluboddziau">
    <w:name w:val="ROZDZ(ODDZ)_OZN – oznaczenie rozdziału lub oddziału"/>
    <w:next w:val="ARTartustawynprozporzdzenia"/>
    <w:uiPriority w:val="99"/>
    <w:rsid w:val="008C134C"/>
    <w:pPr>
      <w:keepNext/>
      <w:suppressAutoHyphens/>
      <w:spacing w:before="120"/>
      <w:jc w:val="center"/>
    </w:pPr>
    <w:rPr>
      <w:rFonts w:eastAsia="Times New Roman" w:cs="Arial"/>
      <w:bCs/>
      <w:kern w:val="24"/>
      <w:lang w:eastAsia="en-US"/>
    </w:rPr>
  </w:style>
  <w:style w:type="paragraph" w:customStyle="1" w:styleId="Z2TIR2TIRzmpodwtirpodwjnymtiret">
    <w:name w:val="Z_2TIR/2TIR – zm. podw. tir. podwójnym tiret"/>
    <w:basedOn w:val="TIRtiret"/>
    <w:uiPriority w:val="99"/>
    <w:rsid w:val="008C134C"/>
    <w:pPr>
      <w:ind w:left="2177"/>
    </w:pPr>
  </w:style>
  <w:style w:type="paragraph" w:customStyle="1" w:styleId="Z2TIRTIRzmtirpodwjnymtiret">
    <w:name w:val="Z_2TIR/TIR – zm. tir. podwójnym tiret"/>
    <w:basedOn w:val="TIRtiret"/>
    <w:uiPriority w:val="99"/>
    <w:rsid w:val="008C13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8C134C"/>
    <w:pPr>
      <w:ind w:left="1021"/>
    </w:pPr>
  </w:style>
  <w:style w:type="paragraph" w:customStyle="1" w:styleId="ZLITSKARNzmsankcjikarnejliter">
    <w:name w:val="Z_LIT/S_KARN – zm. sankcji karnej literą"/>
    <w:basedOn w:val="ZSKARNzmsankcjikarnejwszczeglnociwKodeksiekarnym"/>
    <w:uiPriority w:val="99"/>
    <w:rsid w:val="008C134C"/>
    <w:pPr>
      <w:ind w:left="1497"/>
    </w:pPr>
  </w:style>
  <w:style w:type="paragraph" w:customStyle="1" w:styleId="ZCYTzmcytatunpprzysigiartykuempunktem">
    <w:name w:val="Z/CYT – zm. cytatu np. przysięgi artykułem (punktem)"/>
    <w:basedOn w:val="CYTcytatnpprzysigi"/>
    <w:next w:val="ZUSTzmustartykuempunktem"/>
    <w:uiPriority w:val="99"/>
    <w:rsid w:val="008C134C"/>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8C134C"/>
    <w:pPr>
      <w:ind w:left="1894" w:firstLine="0"/>
    </w:pPr>
  </w:style>
  <w:style w:type="paragraph" w:customStyle="1" w:styleId="Z2TIRwLITzmpodwtirwlitartykuempunktem">
    <w:name w:val="Z/2TIR_w_LIT – zm. podw. tir. w lit. artykułem (punktem)"/>
    <w:basedOn w:val="Z2TIRwPKTzmpodwtirwpktartykuempunktem"/>
    <w:uiPriority w:val="99"/>
    <w:rsid w:val="008C134C"/>
    <w:pPr>
      <w:ind w:left="1780"/>
    </w:pPr>
  </w:style>
  <w:style w:type="paragraph" w:customStyle="1" w:styleId="Z2TIRwTIRzmpodwtirwtirartykuempunktem">
    <w:name w:val="Z/2TIR_w_TIR – zm. podw. tir. w tir. artykułem (punktem)"/>
    <w:basedOn w:val="Z2TIRwLITzmpodwtirwlitartykuempunktem"/>
    <w:uiPriority w:val="99"/>
    <w:rsid w:val="008C13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8C13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8C134C"/>
    <w:pPr>
      <w:ind w:left="1383" w:firstLine="0"/>
    </w:pPr>
  </w:style>
  <w:style w:type="paragraph" w:customStyle="1" w:styleId="ZZCZWSP2TIRzmianazmczciwsppodwtir">
    <w:name w:val="ZZ/CZ_WSP_2TIR – zmiana zm. części wsp. podw. tir."/>
    <w:basedOn w:val="ZZTIRzmianazmtir"/>
    <w:next w:val="ZZUSTzmianazmust"/>
    <w:uiPriority w:val="99"/>
    <w:rsid w:val="008C134C"/>
    <w:pPr>
      <w:ind w:left="1894" w:firstLine="0"/>
    </w:pPr>
  </w:style>
  <w:style w:type="paragraph" w:customStyle="1" w:styleId="PKTODNONIKApunktodnonika">
    <w:name w:val="PKT_ODNOŚNIKA – punkt odnośnika"/>
    <w:basedOn w:val="ODNONIKtreodnonika"/>
    <w:uiPriority w:val="99"/>
    <w:rsid w:val="008C134C"/>
    <w:pPr>
      <w:ind w:left="568"/>
    </w:pPr>
  </w:style>
  <w:style w:type="paragraph" w:customStyle="1" w:styleId="ZODNONIKAzmtekstuodnonikaartykuempunktem">
    <w:name w:val="Z/ODNOŚNIKA – zm. tekstu odnośnika artykułem (punktem)"/>
    <w:basedOn w:val="ODNONIKtreodnonika"/>
    <w:uiPriority w:val="99"/>
    <w:rsid w:val="008C13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8C134C"/>
    <w:pPr>
      <w:ind w:left="1304"/>
    </w:pPr>
  </w:style>
  <w:style w:type="paragraph" w:customStyle="1" w:styleId="ZPKTODNONIKAzmpktodnonikaartykuempunktem">
    <w:name w:val="Z/PKT_ODNOŚNIKA – zm. pkt odnośnika artykułem (punktem)"/>
    <w:basedOn w:val="ZODNONIKAzmtekstuodnonikaartykuempunktem"/>
    <w:uiPriority w:val="99"/>
    <w:rsid w:val="008C134C"/>
  </w:style>
  <w:style w:type="paragraph" w:customStyle="1" w:styleId="ZLIT2TIRwTIRzmpodwtirwtirliter">
    <w:name w:val="Z_LIT/2TIR_w_TIR – zm. podw. tir. w tir. literą"/>
    <w:basedOn w:val="ZLIT2TIRzmpodwtirliter"/>
    <w:uiPriority w:val="99"/>
    <w:rsid w:val="008C134C"/>
    <w:pPr>
      <w:ind w:left="1780"/>
    </w:pPr>
  </w:style>
  <w:style w:type="paragraph" w:customStyle="1" w:styleId="ZLIT2TIRwLITzmpodwtirwlitliter">
    <w:name w:val="Z_LIT/2TIR_w_LIT – zm. podw. tir. w lit. literą"/>
    <w:basedOn w:val="ZLIT2TIRwTIRzmpodwtirwtirliter"/>
    <w:uiPriority w:val="99"/>
    <w:rsid w:val="008C134C"/>
    <w:pPr>
      <w:ind w:left="2257"/>
    </w:pPr>
  </w:style>
  <w:style w:type="paragraph" w:customStyle="1" w:styleId="ZLIT2TIRwPKTzmpodwtirwpktliter">
    <w:name w:val="Z_LIT/2TIR_w_PKT – zm. podw. tir. w pkt literą"/>
    <w:basedOn w:val="ZLIT2TIRwLITzmpodwtirwlitliter"/>
    <w:uiPriority w:val="99"/>
    <w:rsid w:val="008C13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8C13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8C13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8C134C"/>
    <w:pPr>
      <w:ind w:left="2370" w:firstLine="0"/>
    </w:pPr>
  </w:style>
  <w:style w:type="paragraph" w:customStyle="1" w:styleId="ZTIR2TIRwPKTzmpodwtirwpkttiret">
    <w:name w:val="Z_TIR/2TIR_w_PKT – zm. podw. tir. w pkt tiret"/>
    <w:basedOn w:val="ZTIR2TIRwLITzmpodwtirwlittiret"/>
    <w:uiPriority w:val="99"/>
    <w:rsid w:val="008C13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8C134C"/>
    <w:pPr>
      <w:ind w:left="2767" w:firstLine="0"/>
    </w:pPr>
  </w:style>
  <w:style w:type="paragraph" w:customStyle="1" w:styleId="ZZCZWSP2TIRwLITzmianazmczciwsppodwtirwlit">
    <w:name w:val="ZZ/CZ_WSP_2TIR_w_LIT – zmiana zm. części wsp. podw. tir. w lit."/>
    <w:basedOn w:val="ZZ2TIRwLITzmianazmpodwtirwlit"/>
    <w:uiPriority w:val="99"/>
    <w:rsid w:val="008C134C"/>
    <w:pPr>
      <w:ind w:left="2767"/>
    </w:pPr>
  </w:style>
  <w:style w:type="paragraph" w:customStyle="1" w:styleId="ZZCZWSP2TIRwPKTzmianazmczciwsppodwtirwpkt">
    <w:name w:val="ZZ/CZ_WSP_2TIR_w_PKT – zmiana zm. części wsp. podw. tir. w pkt"/>
    <w:basedOn w:val="ZZ2TIRwLITzmianazmpodwtirwlit"/>
    <w:uiPriority w:val="99"/>
    <w:rsid w:val="008C13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8C134C"/>
  </w:style>
  <w:style w:type="paragraph" w:customStyle="1" w:styleId="ZLITCZWSP2TIRzmczciwsppodwtirliter">
    <w:name w:val="Z_LIT/CZ_WSP_2TIR – zm. części wsp. podw. tir. literą"/>
    <w:basedOn w:val="ZLITCZWSPPKTzmczciwsppktliter"/>
    <w:next w:val="LITlitera"/>
    <w:uiPriority w:val="99"/>
    <w:rsid w:val="008C134C"/>
  </w:style>
  <w:style w:type="paragraph" w:customStyle="1" w:styleId="ZTIRCZWSP2TIRzmczciwsppodwtirtiret">
    <w:name w:val="Z_TIR/CZ_WSP_2TIR – zm. części wsp. podw. tir. tiret"/>
    <w:basedOn w:val="ZLITCZWSP2TIRzmczciwsppodwtirliter"/>
    <w:next w:val="TIRtiret"/>
    <w:uiPriority w:val="99"/>
    <w:rsid w:val="008C134C"/>
  </w:style>
  <w:style w:type="paragraph" w:customStyle="1" w:styleId="ZZ2TIRzmianazmpodwtir">
    <w:name w:val="ZZ/2TIR – zmiana zm. podw. tir."/>
    <w:basedOn w:val="ZZCZWSP2TIRzmianazmczciwsppodwtir"/>
    <w:uiPriority w:val="99"/>
    <w:rsid w:val="008C13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8C134C"/>
  </w:style>
  <w:style w:type="paragraph" w:customStyle="1" w:styleId="ZCZWSPTIRzmczciwsptirartykuempunktem">
    <w:name w:val="Z/CZ_WSP_TIR – zm. części wsp. tir. artykułem (punktem)"/>
    <w:basedOn w:val="ZCZWSPPKTzmczciwsppktartykuempunktem"/>
    <w:next w:val="PKTpunkt"/>
    <w:uiPriority w:val="99"/>
    <w:rsid w:val="008C134C"/>
  </w:style>
  <w:style w:type="paragraph" w:customStyle="1" w:styleId="ZLITCZWSPLITzmczciwsplitliter">
    <w:name w:val="Z_LIT/CZ_WSP_LIT – zm. części wsp. lit. literą"/>
    <w:basedOn w:val="ZLITCZWSPPKTzmczciwsppktliter"/>
    <w:next w:val="LITlitera"/>
    <w:uiPriority w:val="99"/>
    <w:rsid w:val="008C134C"/>
  </w:style>
  <w:style w:type="paragraph" w:customStyle="1" w:styleId="ZLITCZWSPTIRzmczciwsptirliter">
    <w:name w:val="Z_LIT/CZ_WSP_TIR – zm. części wsp. tir. literą"/>
    <w:basedOn w:val="ZLITCZWSPPKTzmczciwsppktliter"/>
    <w:next w:val="LITlitera"/>
    <w:uiPriority w:val="99"/>
    <w:rsid w:val="008C134C"/>
  </w:style>
  <w:style w:type="paragraph" w:customStyle="1" w:styleId="ZTIRCZWSPLITzmczciwsplittiret">
    <w:name w:val="Z_TIR/CZ_WSP_LIT – zm. części wsp. lit. tiret"/>
    <w:basedOn w:val="ZTIRCZWSPPKTzmczciwsppkttiret"/>
    <w:next w:val="TIRtiret"/>
    <w:uiPriority w:val="99"/>
    <w:rsid w:val="008C134C"/>
  </w:style>
  <w:style w:type="paragraph" w:customStyle="1" w:styleId="ZTIRCZWSPTIRzmczciwsptirtiret">
    <w:name w:val="Z_TIR/CZ_WSP_TIR – zm. części wsp. tir. tiret"/>
    <w:basedOn w:val="ZTIRCZWSPPKTzmczciwsppkttiret"/>
    <w:next w:val="TIRtiret"/>
    <w:uiPriority w:val="99"/>
    <w:rsid w:val="008C134C"/>
  </w:style>
  <w:style w:type="paragraph" w:customStyle="1" w:styleId="ZZCZWSPLITzmianazmczciwsplit">
    <w:name w:val="ZZ/CZ_WSP_LIT – zmiana. zm. części wsp. lit."/>
    <w:basedOn w:val="ZZCZWSPPKTzmianazmczciwsppkt"/>
    <w:uiPriority w:val="99"/>
    <w:rsid w:val="008C134C"/>
  </w:style>
  <w:style w:type="paragraph" w:customStyle="1" w:styleId="ZZCZWSPTIRzmianazmczciwsptir">
    <w:name w:val="ZZ/CZ_WSP_TIR – zmiana. zm. części wsp. tir."/>
    <w:basedOn w:val="ZZCZWSPPKTzmianazmczciwsppkt"/>
    <w:uiPriority w:val="99"/>
    <w:rsid w:val="008C134C"/>
  </w:style>
  <w:style w:type="paragraph" w:customStyle="1" w:styleId="Z2TIRCZWSPTIRzmczciwsptirpodwjnymtiret">
    <w:name w:val="Z_2TIR/CZ_WSP_TIR – zm. części wsp. tir. podwójnym tiret"/>
    <w:basedOn w:val="Z2TIRCZWSPLITzmczciwsplitpodwjnymtiret"/>
    <w:next w:val="2TIRpodwjnytiret"/>
    <w:uiPriority w:val="99"/>
    <w:rsid w:val="008C134C"/>
  </w:style>
  <w:style w:type="paragraph" w:customStyle="1" w:styleId="Z2TIRCZWSP2TIRzmczciwsppodwtirpodwjnymtiret">
    <w:name w:val="Z_2TIR/CZ_WSP_2TIR – zm. części wsp. podw. tir. podwójnym tiret"/>
    <w:basedOn w:val="Z2TIRCZWSPLITzmczciwsplitpodwjnymtiret"/>
    <w:next w:val="2TIRpodwjnytiret"/>
    <w:uiPriority w:val="99"/>
    <w:rsid w:val="008C134C"/>
  </w:style>
  <w:style w:type="paragraph" w:customStyle="1" w:styleId="ZUSTzmustartykuempunktem">
    <w:name w:val="Z/UST(§) – zm. ust. (§) artykułem (punktem)"/>
    <w:basedOn w:val="ZARTzmartartykuempunktem"/>
    <w:uiPriority w:val="99"/>
    <w:rsid w:val="008C134C"/>
  </w:style>
  <w:style w:type="paragraph" w:customStyle="1" w:styleId="ZZUSTzmianazmust">
    <w:name w:val="ZZ/UST(§) – zmiana zm. ust. (§)"/>
    <w:basedOn w:val="ZZARTzmianazmart"/>
    <w:uiPriority w:val="99"/>
    <w:rsid w:val="008C134C"/>
  </w:style>
  <w:style w:type="paragraph" w:customStyle="1" w:styleId="TYTDZPRZEDMprzedmiotregulacjitytuulubdziau">
    <w:name w:val="TYT(DZ)_PRZEDM – przedmiot regulacji tytułu lub działu"/>
    <w:next w:val="ARTartustawynprozporzdzenia"/>
    <w:uiPriority w:val="99"/>
    <w:rsid w:val="008C134C"/>
    <w:pPr>
      <w:keepNext/>
      <w:suppressAutoHyphens/>
      <w:spacing w:before="120"/>
      <w:jc w:val="center"/>
    </w:pPr>
    <w:rPr>
      <w:b/>
      <w:szCs w:val="26"/>
      <w:lang w:eastAsia="en-US"/>
    </w:rPr>
  </w:style>
  <w:style w:type="paragraph" w:customStyle="1" w:styleId="ZNIEARTTEKSTzmtekstunieartykuowanego">
    <w:name w:val="Z/NIEART_TEKST – zm. tekstu nieartykułowanego"/>
    <w:basedOn w:val="NIEARTTEKSTtekstnieartykuowanynppodstprawnarozplubpreambua"/>
    <w:uiPriority w:val="99"/>
    <w:rsid w:val="008C13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8C13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8C13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8C13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8C13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8C134C"/>
    <w:pPr>
      <w:ind w:left="1894"/>
    </w:pPr>
  </w:style>
  <w:style w:type="paragraph" w:customStyle="1" w:styleId="P1wTABELIpoziom1numeracjiwtabeli">
    <w:name w:val="P1_w_TABELI – poziom 1 numeracji w tabeli"/>
    <w:basedOn w:val="PKTpunkt"/>
    <w:uiPriority w:val="99"/>
    <w:rsid w:val="008C13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8C134C"/>
    <w:pPr>
      <w:ind w:left="0" w:firstLine="0"/>
    </w:pPr>
  </w:style>
  <w:style w:type="paragraph" w:customStyle="1" w:styleId="P2wTABELIpoziom2numeracjiwtabeli">
    <w:name w:val="P2_w_TABELI – poziom 2 numeracji w tabeli"/>
    <w:basedOn w:val="P1wTABELIpoziom1numeracjiwtabeli"/>
    <w:uiPriority w:val="99"/>
    <w:rsid w:val="008C134C"/>
    <w:pPr>
      <w:ind w:left="794"/>
    </w:pPr>
  </w:style>
  <w:style w:type="paragraph" w:customStyle="1" w:styleId="P3wTABELIpoziom3numeracjiwtabeli">
    <w:name w:val="P3_w_TABELI – poziom 3 numeracji w tabeli"/>
    <w:basedOn w:val="P2wTABELIpoziom2numeracjiwtabeli"/>
    <w:uiPriority w:val="99"/>
    <w:rsid w:val="008C13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8C13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8C13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8C134C"/>
    <w:pPr>
      <w:ind w:left="1191"/>
    </w:pPr>
  </w:style>
  <w:style w:type="paragraph" w:customStyle="1" w:styleId="P4wTABELIpoziom4numeracjiwtabeli">
    <w:name w:val="P4_w_TABELI – poziom 4 numeracji w tabeli"/>
    <w:basedOn w:val="P3wTABELIpoziom3numeracjiwtabeli"/>
    <w:uiPriority w:val="99"/>
    <w:rsid w:val="008C134C"/>
    <w:pPr>
      <w:ind w:left="1588"/>
    </w:pPr>
  </w:style>
  <w:style w:type="paragraph" w:customStyle="1" w:styleId="TYTTABELItytutabeli">
    <w:name w:val="TYT_TABELI – tytuł tabeli"/>
    <w:basedOn w:val="TYTDZOZNoznaczenietytuulubdziau"/>
    <w:uiPriority w:val="99"/>
    <w:rsid w:val="008C134C"/>
    <w:rPr>
      <w:b/>
    </w:rPr>
  </w:style>
  <w:style w:type="paragraph" w:customStyle="1" w:styleId="OZNPROJEKTUwskazaniedatylubwersjiprojektu">
    <w:name w:val="OZN_PROJEKTU – wskazanie daty lub wersji projektu"/>
    <w:next w:val="OZNRODZAKTUtznustawalubrozporzdzenieiorganwydajcy"/>
    <w:uiPriority w:val="99"/>
    <w:rsid w:val="008C134C"/>
    <w:pPr>
      <w:jc w:val="right"/>
    </w:pPr>
    <w:rPr>
      <w:rFonts w:ascii="Times New Roman" w:eastAsia="Times New Roman" w:hAnsi="Times New Roman" w:cs="Arial"/>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99"/>
    <w:rsid w:val="008C13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8C134C"/>
    <w:pPr>
      <w:ind w:left="0" w:right="4820"/>
      <w:jc w:val="left"/>
    </w:pPr>
  </w:style>
  <w:style w:type="paragraph" w:customStyle="1" w:styleId="TEKSTwporozumieniu">
    <w:name w:val="TEKST&quot;w porozumieniu:&quot;"/>
    <w:next w:val="NAZORGWPOROZUMIENIUnazwaorganuwporozumieniuzktrymaktjestwydawany"/>
    <w:uiPriority w:val="99"/>
    <w:rsid w:val="008C134C"/>
    <w:rPr>
      <w:rFonts w:ascii="Times New Roman" w:eastAsia="Times New Roman" w:hAnsi="Times New Roman" w:cs="Arial"/>
      <w:b/>
      <w:lang w:eastAsia="en-US"/>
    </w:rPr>
  </w:style>
  <w:style w:type="paragraph" w:customStyle="1" w:styleId="CZWSPPKTODNONIKAczwsppunkwodnonika">
    <w:name w:val="CZ_WSP_PKT_ODNOŚNIKA – część wsp. punków odnośnika"/>
    <w:basedOn w:val="PKTODNONIKApunktodnonika"/>
    <w:uiPriority w:val="99"/>
    <w:rsid w:val="008C13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8C134C"/>
    <w:pPr>
      <w:ind w:left="510" w:firstLine="0"/>
    </w:pPr>
  </w:style>
  <w:style w:type="paragraph" w:customStyle="1" w:styleId="NOTATKILEGISLATORA">
    <w:name w:val="NOTATKI_LEGISLATORA"/>
    <w:basedOn w:val="Normalny"/>
    <w:uiPriority w:val="99"/>
    <w:rsid w:val="008C134C"/>
    <w:rPr>
      <w:b/>
      <w:i/>
    </w:rPr>
  </w:style>
  <w:style w:type="paragraph" w:customStyle="1" w:styleId="OZNZACZNIKAwskazanienrzacznika">
    <w:name w:val="OZN_ZAŁĄCZNIKA – wskazanie nr załącznika"/>
    <w:basedOn w:val="OZNPROJEKTUwskazaniedatylubwersjiprojektu"/>
    <w:uiPriority w:val="99"/>
    <w:rsid w:val="008C134C"/>
    <w:pPr>
      <w:keepNext/>
    </w:pPr>
    <w:rPr>
      <w:b/>
      <w:u w:val="none"/>
    </w:rPr>
  </w:style>
  <w:style w:type="paragraph" w:customStyle="1" w:styleId="OZNPARAFYADNOTACJE">
    <w:name w:val="OZN_PARAFY(ADNOTACJE)"/>
    <w:basedOn w:val="ODNONIKtreodnonika"/>
    <w:uiPriority w:val="99"/>
    <w:rsid w:val="008C134C"/>
  </w:style>
  <w:style w:type="paragraph" w:customStyle="1" w:styleId="TEKSTZacznikido">
    <w:name w:val="TEKST&quot;Załącznik(i) do ...&quot;"/>
    <w:uiPriority w:val="99"/>
    <w:rsid w:val="008C134C"/>
    <w:pPr>
      <w:keepNext/>
      <w:spacing w:after="240"/>
      <w:ind w:left="5670"/>
      <w:contextualSpacing/>
    </w:pPr>
    <w:rPr>
      <w:rFonts w:ascii="Times New Roman" w:eastAsia="Times New Roman" w:hAnsi="Times New Roman" w:cs="Arial"/>
      <w:lang w:eastAsia="en-US"/>
    </w:rPr>
  </w:style>
  <w:style w:type="paragraph" w:customStyle="1" w:styleId="LITODNONIKAliteraodnonika">
    <w:name w:val="LIT_ODNOŚNIKA – litera odnośnika"/>
    <w:basedOn w:val="PKTODNONIKApunktodnonika"/>
    <w:uiPriority w:val="99"/>
    <w:rsid w:val="008C134C"/>
    <w:pPr>
      <w:ind w:left="851"/>
    </w:pPr>
  </w:style>
  <w:style w:type="paragraph" w:customStyle="1" w:styleId="CZWSPLITODNONIKAczwspliterodnonika">
    <w:name w:val="CZ_WSP_LIT_ODNOŚNIKA – część wsp. liter odnośnika"/>
    <w:basedOn w:val="LITODNONIKAliteraodnonika"/>
    <w:uiPriority w:val="99"/>
    <w:rsid w:val="008C13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8C13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8C13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8C13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8C13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8C13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8C13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8C134C"/>
  </w:style>
  <w:style w:type="paragraph" w:customStyle="1" w:styleId="ZLITwPKTODNONIKAzmlitwpktodnonikaartykuempunktem">
    <w:name w:val="Z/LIT_w_PKT_ODNOŚNIKA – zm. lit. w pkt odnośnika artykułem (punktem)"/>
    <w:basedOn w:val="ZLITODNONIKAzmlitodnonikaartykuempunktem"/>
    <w:uiPriority w:val="99"/>
    <w:rsid w:val="008C13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8C13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8C13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8C13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8C13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8C13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8C134C"/>
  </w:style>
  <w:style w:type="paragraph" w:customStyle="1" w:styleId="ZZFRAGzmianazmfragmentunpzdania">
    <w:name w:val="ZZ/FRAG – zmiana zm. fragmentu (np. zdania)"/>
    <w:basedOn w:val="ZZCZWSPPKTzmianazmczciwsppkt"/>
    <w:uiPriority w:val="99"/>
    <w:rsid w:val="008C134C"/>
  </w:style>
  <w:style w:type="paragraph" w:customStyle="1" w:styleId="Z2TIRPKTzmpktpodwjnymtiret">
    <w:name w:val="Z_2TIR/PKT – zm. pkt podwójnym tiret"/>
    <w:basedOn w:val="Z2TIRLITzmlitpodwjnymtiret"/>
    <w:uiPriority w:val="99"/>
    <w:rsid w:val="008C13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8C13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8C13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8C13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8C134C"/>
    <w:pPr>
      <w:ind w:left="1780" w:firstLine="510"/>
    </w:pPr>
  </w:style>
  <w:style w:type="paragraph" w:customStyle="1" w:styleId="Z2TIRUSTzmustpodwjnymtiret">
    <w:name w:val="Z_2TIR/UST(§) – zm. ust. (§) podwójnym tiret"/>
    <w:basedOn w:val="Z2TIRPKTzmpktpodwjnymtiret"/>
    <w:uiPriority w:val="99"/>
    <w:rsid w:val="008C13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8C134C"/>
    <w:pPr>
      <w:ind w:left="3164" w:firstLine="0"/>
    </w:pPr>
  </w:style>
  <w:style w:type="paragraph" w:customStyle="1" w:styleId="Z2TIRCZWSPPKTzmczciwsppktpodwjnymtiret">
    <w:name w:val="Z_2TIR/CZ_WSP_PKT – zm. części wsp. pkt podwójnym tiret"/>
    <w:basedOn w:val="Z2TIRPKTzmpktpodwjnymtiret"/>
    <w:uiPriority w:val="99"/>
    <w:rsid w:val="008C13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8C134C"/>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8C134C"/>
    <w:pPr>
      <w:ind w:left="2767" w:firstLine="0"/>
    </w:pPr>
  </w:style>
  <w:style w:type="paragraph" w:customStyle="1" w:styleId="ZLITARTzmartliter">
    <w:name w:val="Z_LIT/ART(§) – zm. art. (§) literą"/>
    <w:basedOn w:val="ZLITUSTzmustliter"/>
    <w:uiPriority w:val="99"/>
    <w:rsid w:val="008C134C"/>
    <w:rPr>
      <w:rFonts w:ascii="Times New Roman" w:hAnsi="Times New Roman"/>
    </w:rPr>
  </w:style>
  <w:style w:type="paragraph" w:customStyle="1" w:styleId="ZTIRARTzmarttiret">
    <w:name w:val="Z_TIR/ART(§) – zm. art. (§) tiret"/>
    <w:basedOn w:val="ZTIRPKTzmpkttiret"/>
    <w:uiPriority w:val="99"/>
    <w:rsid w:val="008C134C"/>
    <w:pPr>
      <w:ind w:left="1383" w:firstLine="510"/>
    </w:pPr>
    <w:rPr>
      <w:rFonts w:ascii="Times New Roman" w:hAnsi="Times New Roman"/>
    </w:rPr>
  </w:style>
  <w:style w:type="paragraph" w:customStyle="1" w:styleId="ZTIRUSTzmusttiret">
    <w:name w:val="Z_TIR/UST(§) – zm. ust. (§) tiret"/>
    <w:basedOn w:val="ZTIRARTzmarttiret"/>
    <w:uiPriority w:val="99"/>
    <w:rsid w:val="008C134C"/>
  </w:style>
  <w:style w:type="paragraph" w:customStyle="1" w:styleId="ZLITKSIGIzmozniprzedmksigiliter">
    <w:name w:val="Z_LIT/KSIĘGI – zm. ozn. i przedm. księgi literą"/>
    <w:basedOn w:val="ZCZCIKSIGIzmozniprzedmczciksigiartykuempunktem"/>
    <w:uiPriority w:val="99"/>
    <w:rsid w:val="008C13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8C134C"/>
    <w:pPr>
      <w:ind w:left="987"/>
    </w:pPr>
  </w:style>
  <w:style w:type="paragraph" w:customStyle="1" w:styleId="ZLITTYTDZPRZEDMzmprzedmtytuudziauliter">
    <w:name w:val="Z_LIT/TYT(DZ)_PRZEDM – zm. przedm. tytułu (działu) literą"/>
    <w:basedOn w:val="ZTYTDZPRZEDMzmprzedmtytuulubdziauartykuempunktem"/>
    <w:uiPriority w:val="99"/>
    <w:rsid w:val="008C13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8C13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8C134C"/>
    <w:pPr>
      <w:ind w:left="987"/>
    </w:pPr>
  </w:style>
  <w:style w:type="paragraph" w:customStyle="1" w:styleId="ZTIRDZOZNzmozndziautiret">
    <w:name w:val="Z_TIR/DZ_OZN – zm. ozn. działu tiret"/>
    <w:basedOn w:val="ZLITTYTDZOZNzmozntytuudziauliter"/>
    <w:next w:val="ZTIRDZPRZEDMzmprzedmdziautiret"/>
    <w:uiPriority w:val="99"/>
    <w:rsid w:val="008C134C"/>
    <w:pPr>
      <w:ind w:left="1383"/>
    </w:pPr>
  </w:style>
  <w:style w:type="paragraph" w:customStyle="1" w:styleId="ZTIRDZPRZEDMzmprzedmdziautiret">
    <w:name w:val="Z_TIR/DZ_PRZEDM – zm. przedm. działu tiret"/>
    <w:basedOn w:val="ZLITTYTDZPRZEDMzmprzedmtytuudziauliter"/>
    <w:uiPriority w:val="99"/>
    <w:rsid w:val="008C13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8C134C"/>
    <w:pPr>
      <w:ind w:left="1383"/>
    </w:pPr>
  </w:style>
  <w:style w:type="paragraph" w:customStyle="1" w:styleId="ZTIRROZDZODDZPRZEDMzmprzedmrozdzoddztiret">
    <w:name w:val="Z_TIR/ROZDZ(ODDZ)_PRZEDM – zm. przedm. rozdz. (oddz.) tiret"/>
    <w:basedOn w:val="ZLITROZDZODDZPRZEDMzmprzedmrozdzoddzliter"/>
    <w:uiPriority w:val="99"/>
    <w:rsid w:val="008C13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8C13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8C134C"/>
    <w:pPr>
      <w:ind w:left="1780"/>
    </w:pPr>
  </w:style>
  <w:style w:type="character" w:customStyle="1" w:styleId="IGindeksgrny">
    <w:name w:val="_IG_ – indeks górny"/>
    <w:uiPriority w:val="99"/>
    <w:rsid w:val="004368C4"/>
    <w:rPr>
      <w:spacing w:val="0"/>
      <w:vertAlign w:val="superscript"/>
    </w:rPr>
  </w:style>
  <w:style w:type="character" w:customStyle="1" w:styleId="IDindeksdolny">
    <w:name w:val="_ID_ – indeks dolny"/>
    <w:uiPriority w:val="99"/>
    <w:rsid w:val="008C134C"/>
    <w:rPr>
      <w:rFonts w:cs="Times New Roman"/>
      <w:spacing w:val="0"/>
      <w:vertAlign w:val="subscript"/>
    </w:rPr>
  </w:style>
  <w:style w:type="character" w:customStyle="1" w:styleId="IDPindeksdolnyipogrubienie">
    <w:name w:val="_ID_P_ – indeks dolny i pogrubienie"/>
    <w:uiPriority w:val="99"/>
    <w:rsid w:val="008C134C"/>
    <w:rPr>
      <w:rFonts w:cs="Times New Roman"/>
      <w:b/>
      <w:spacing w:val="0"/>
      <w:vertAlign w:val="subscript"/>
    </w:rPr>
  </w:style>
  <w:style w:type="character" w:customStyle="1" w:styleId="IDKindeksdolnyikursywa">
    <w:name w:val="_ID_K_ – indeks dolny i kursywa"/>
    <w:uiPriority w:val="99"/>
    <w:rsid w:val="008C134C"/>
    <w:rPr>
      <w:rFonts w:cs="Times New Roman"/>
      <w:i/>
      <w:spacing w:val="0"/>
      <w:vertAlign w:val="subscript"/>
    </w:rPr>
  </w:style>
  <w:style w:type="character" w:customStyle="1" w:styleId="IGPindeksgrnyipogrubienie">
    <w:name w:val="_IG_P_ – indeks górny i pogrubienie"/>
    <w:uiPriority w:val="99"/>
    <w:rsid w:val="008C134C"/>
    <w:rPr>
      <w:rFonts w:cs="Times New Roman"/>
      <w:b/>
      <w:spacing w:val="0"/>
      <w:vertAlign w:val="superscript"/>
    </w:rPr>
  </w:style>
  <w:style w:type="character" w:customStyle="1" w:styleId="IGKindeksgrnyikursywa">
    <w:name w:val="_IG_K_ – indeks górny i kursywa"/>
    <w:uiPriority w:val="99"/>
    <w:rsid w:val="008C134C"/>
    <w:rPr>
      <w:rFonts w:cs="Times New Roman"/>
      <w:i/>
      <w:spacing w:val="0"/>
      <w:vertAlign w:val="superscript"/>
    </w:rPr>
  </w:style>
  <w:style w:type="character" w:customStyle="1" w:styleId="IGPKindeksgrnyipogrubieniekursywa">
    <w:name w:val="_IG_P_K_ – indeks górny i pogrubienie kursywa"/>
    <w:uiPriority w:val="99"/>
    <w:rsid w:val="008C134C"/>
    <w:rPr>
      <w:rFonts w:cs="Times New Roman"/>
      <w:b/>
      <w:i/>
      <w:spacing w:val="0"/>
      <w:vertAlign w:val="superscript"/>
    </w:rPr>
  </w:style>
  <w:style w:type="character" w:customStyle="1" w:styleId="IDPKindeksdolnyipogrugieniekursywa">
    <w:name w:val="_ID_P_K_ – indeks dolny i pogrugienie kursywa"/>
    <w:uiPriority w:val="99"/>
    <w:rsid w:val="008C134C"/>
    <w:rPr>
      <w:rFonts w:cs="Times New Roman"/>
      <w:b/>
      <w:i/>
      <w:spacing w:val="0"/>
      <w:vertAlign w:val="subscript"/>
    </w:rPr>
  </w:style>
  <w:style w:type="character" w:customStyle="1" w:styleId="Ppogrubienie">
    <w:name w:val="_P_ – pogrubienie"/>
    <w:uiPriority w:val="99"/>
    <w:rsid w:val="008C134C"/>
    <w:rPr>
      <w:rFonts w:cs="Times New Roman"/>
      <w:b/>
    </w:rPr>
  </w:style>
  <w:style w:type="character" w:customStyle="1" w:styleId="Kkursywa">
    <w:name w:val="_K_ – kursywa"/>
    <w:uiPriority w:val="99"/>
    <w:rsid w:val="008C134C"/>
    <w:rPr>
      <w:rFonts w:cs="Times New Roman"/>
      <w:i/>
    </w:rPr>
  </w:style>
  <w:style w:type="character" w:customStyle="1" w:styleId="PKpogrubieniekursywa">
    <w:name w:val="_P_K_ – pogrubienie kursywa"/>
    <w:uiPriority w:val="99"/>
    <w:rsid w:val="008C134C"/>
    <w:rPr>
      <w:rFonts w:cs="Times New Roman"/>
      <w:b/>
      <w:i/>
    </w:rPr>
  </w:style>
  <w:style w:type="character" w:customStyle="1" w:styleId="TEKSTOZNACZONYWDOKUMENCIERDOWYMJAKOUKRYTY">
    <w:name w:val="_TEKST_OZNACZONY_W_DOKUMENCIE_ŹRÓDŁOWYM_JAKO_UKRYTY_"/>
    <w:uiPriority w:val="99"/>
    <w:rsid w:val="008C134C"/>
    <w:rPr>
      <w:rFonts w:cs="Times New Roman"/>
      <w:color w:val="FF0000"/>
      <w:u w:val="single" w:color="FF0000"/>
    </w:rPr>
  </w:style>
  <w:style w:type="character" w:customStyle="1" w:styleId="BEZWERSALIKW">
    <w:name w:val="_BEZ_WERSALIKÓW_"/>
    <w:uiPriority w:val="99"/>
    <w:rsid w:val="008C134C"/>
    <w:rPr>
      <w:rFonts w:cs="Times New Roman"/>
      <w:caps/>
    </w:rPr>
  </w:style>
  <w:style w:type="character" w:customStyle="1" w:styleId="IIGPindeksgrnyindeksugrnegoipogrubienie">
    <w:name w:val="_IIG_P_ – indeks górny indeksu górnego i pogrubienie"/>
    <w:uiPriority w:val="99"/>
    <w:rsid w:val="008C134C"/>
    <w:rPr>
      <w:rFonts w:cs="Times New Roman"/>
      <w:b/>
      <w:spacing w:val="0"/>
      <w:position w:val="6"/>
      <w:vertAlign w:val="superscript"/>
    </w:rPr>
  </w:style>
  <w:style w:type="character" w:customStyle="1" w:styleId="IIGindeksgrnyindeksugrnego">
    <w:name w:val="_IIG_ – indeks górny indeksu górnego"/>
    <w:uiPriority w:val="99"/>
    <w:rsid w:val="008C134C"/>
    <w:rPr>
      <w:rFonts w:cs="Times New Roman"/>
      <w:b/>
      <w:spacing w:val="0"/>
      <w:position w:val="6"/>
      <w:vertAlign w:val="superscript"/>
    </w:rPr>
  </w:style>
  <w:style w:type="paragraph" w:customStyle="1" w:styleId="ODNONIKSPECtreodnonikadoodnonika">
    <w:name w:val="ODNOŚNIK_SPEC – treść odnośnika do odnośnika"/>
    <w:basedOn w:val="Normalny"/>
    <w:uiPriority w:val="99"/>
    <w:rsid w:val="008C134C"/>
    <w:pPr>
      <w:spacing w:line="240" w:lineRule="auto"/>
      <w:ind w:left="283" w:hanging="170"/>
    </w:pPr>
    <w:rPr>
      <w:sz w:val="20"/>
    </w:rPr>
  </w:style>
  <w:style w:type="paragraph" w:customStyle="1" w:styleId="TEKSTwTABELItekstzwcitympierwwierszem">
    <w:name w:val="TEKST_w_TABELI – tekst z wciętym pierw. wierszem"/>
    <w:basedOn w:val="Normalny"/>
    <w:uiPriority w:val="99"/>
    <w:rsid w:val="008C134C"/>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rsid w:val="008C134C"/>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8C134C"/>
    <w:pPr>
      <w:ind w:left="1894"/>
    </w:pPr>
  </w:style>
  <w:style w:type="paragraph" w:customStyle="1" w:styleId="ZZSKARNzmianazmsankcjikarnej">
    <w:name w:val="ZZ/S_KARN – zmiana zm. sankcji karnej"/>
    <w:basedOn w:val="ZZFRAGzmianazmfragmentunpzdania"/>
    <w:uiPriority w:val="99"/>
    <w:rsid w:val="008C13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8C134C"/>
    <w:pPr>
      <w:ind w:left="2291" w:firstLine="0"/>
    </w:pPr>
  </w:style>
  <w:style w:type="paragraph" w:customStyle="1" w:styleId="WMATFIZCHEMwzrmatfizlubchem">
    <w:name w:val="W_MAT(FIZ|CHEM) – wzór mat. (fiz. lub chem.)"/>
    <w:uiPriority w:val="99"/>
    <w:rsid w:val="008C134C"/>
    <w:pPr>
      <w:jc w:val="center"/>
    </w:pPr>
    <w:rPr>
      <w:rFonts w:ascii="Times New Roman" w:eastAsia="Times New Roman" w:hAnsi="Times New Roman" w:cs="Arial"/>
      <w:lang w:eastAsia="en-US"/>
    </w:rPr>
  </w:style>
  <w:style w:type="paragraph" w:customStyle="1" w:styleId="LEGWMATFIZCHEMlegendawzorumatfizlubchem">
    <w:name w:val="LEG_W_MAT(FIZ|CHEM) – legenda wzoru mat. (fiz. lub chem.)"/>
    <w:basedOn w:val="WMATFIZCHEMwzrmatfizlubchem"/>
    <w:uiPriority w:val="99"/>
    <w:rsid w:val="008C13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8C13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8C13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8C13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8C13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8C13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8C13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8C13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8C134C"/>
    <w:pPr>
      <w:ind w:left="3085"/>
    </w:pPr>
  </w:style>
  <w:style w:type="paragraph" w:customStyle="1" w:styleId="ZLITCYTzmcytatunpprzysigiliter">
    <w:name w:val="Z_LIT/CYT – zm. cytatu np. przysięgi literą"/>
    <w:basedOn w:val="ZCYTzmcytatunpprzysigiartykuempunktem"/>
    <w:uiPriority w:val="99"/>
    <w:rsid w:val="008C134C"/>
    <w:pPr>
      <w:ind w:left="1497"/>
    </w:pPr>
  </w:style>
  <w:style w:type="paragraph" w:customStyle="1" w:styleId="ZTIRCYTzmcytatunpprzysigitiret">
    <w:name w:val="Z_TIR/CYT – zm. cytatu np. przysięgi tiret"/>
    <w:basedOn w:val="ZLITCYTzmcytatunpprzysigiliter"/>
    <w:next w:val="ZTIRUSTzmusttiret"/>
    <w:uiPriority w:val="99"/>
    <w:rsid w:val="008C13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8C134C"/>
    <w:pPr>
      <w:ind w:left="2291"/>
    </w:pPr>
  </w:style>
  <w:style w:type="paragraph" w:customStyle="1" w:styleId="ZZCYTzmianazmcytatunpprzysigi">
    <w:name w:val="ZZ/CYT – zmiana zm. cytatu np. przysięgi"/>
    <w:basedOn w:val="ZZFRAGzmianazmfragmentunpzdania"/>
    <w:next w:val="ZZUSTzmianazmust"/>
    <w:uiPriority w:val="99"/>
    <w:rsid w:val="008C13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8C134C"/>
    <w:pPr>
      <w:ind w:left="1780"/>
    </w:pPr>
  </w:style>
  <w:style w:type="paragraph" w:styleId="Akapitzlist">
    <w:name w:val="List Paragraph"/>
    <w:basedOn w:val="Normalny"/>
    <w:uiPriority w:val="34"/>
    <w:qFormat/>
    <w:rsid w:val="0068611A"/>
    <w:pPr>
      <w:ind w:left="708"/>
    </w:pPr>
  </w:style>
  <w:style w:type="character" w:styleId="Odwoaniedokomentarza">
    <w:name w:val="annotation reference"/>
    <w:uiPriority w:val="99"/>
    <w:semiHidden/>
    <w:rsid w:val="001E4EA2"/>
    <w:rPr>
      <w:rFonts w:cs="Times New Roman"/>
      <w:sz w:val="16"/>
      <w:szCs w:val="16"/>
    </w:rPr>
  </w:style>
  <w:style w:type="paragraph" w:styleId="Tekstkomentarza">
    <w:name w:val="annotation text"/>
    <w:basedOn w:val="Normalny"/>
    <w:link w:val="TekstkomentarzaZnak"/>
    <w:uiPriority w:val="99"/>
    <w:semiHidden/>
    <w:rsid w:val="001E4EA2"/>
    <w:pPr>
      <w:spacing w:line="240" w:lineRule="auto"/>
    </w:pPr>
    <w:rPr>
      <w:sz w:val="20"/>
      <w:szCs w:val="20"/>
    </w:rPr>
  </w:style>
  <w:style w:type="character" w:customStyle="1" w:styleId="TekstkomentarzaZnak">
    <w:name w:val="Tekst komentarza Znak"/>
    <w:link w:val="Tekstkomentarza"/>
    <w:uiPriority w:val="99"/>
    <w:semiHidden/>
    <w:locked/>
    <w:rsid w:val="001E4EA2"/>
    <w:rPr>
      <w:rFonts w:ascii="Calibri" w:hAnsi="Calibri" w:cs="Times New Roman"/>
    </w:rPr>
  </w:style>
  <w:style w:type="paragraph" w:styleId="Tematkomentarza">
    <w:name w:val="annotation subject"/>
    <w:basedOn w:val="Tekstkomentarza"/>
    <w:next w:val="Tekstkomentarza"/>
    <w:link w:val="TematkomentarzaZnak"/>
    <w:uiPriority w:val="99"/>
    <w:semiHidden/>
    <w:rsid w:val="001E4EA2"/>
    <w:rPr>
      <w:b/>
      <w:bCs/>
    </w:rPr>
  </w:style>
  <w:style w:type="character" w:customStyle="1" w:styleId="TematkomentarzaZnak">
    <w:name w:val="Temat komentarza Znak"/>
    <w:link w:val="Tematkomentarza"/>
    <w:uiPriority w:val="99"/>
    <w:semiHidden/>
    <w:locked/>
    <w:rsid w:val="001E4EA2"/>
    <w:rPr>
      <w:rFonts w:ascii="Calibri" w:hAnsi="Calibri" w:cs="Times New Roman"/>
      <w:b/>
      <w:bCs/>
    </w:rPr>
  </w:style>
  <w:style w:type="paragraph" w:styleId="Tekstdymka">
    <w:name w:val="Balloon Text"/>
    <w:basedOn w:val="Normalny"/>
    <w:link w:val="TekstdymkaZnak"/>
    <w:uiPriority w:val="99"/>
    <w:semiHidden/>
    <w:rsid w:val="001E4EA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E4EA2"/>
    <w:rPr>
      <w:rFonts w:ascii="Segoe UI" w:hAnsi="Segoe UI" w:cs="Segoe UI"/>
      <w:sz w:val="18"/>
      <w:szCs w:val="18"/>
    </w:rPr>
  </w:style>
  <w:style w:type="paragraph" w:customStyle="1" w:styleId="Akapitzlist1">
    <w:name w:val="Akapit z listą1"/>
    <w:basedOn w:val="Normalny"/>
    <w:uiPriority w:val="99"/>
    <w:rsid w:val="00372C0E"/>
    <w:pPr>
      <w:spacing w:after="0" w:line="276" w:lineRule="auto"/>
      <w:ind w:left="720"/>
      <w:contextualSpacing/>
    </w:pPr>
    <w:rPr>
      <w:rFonts w:eastAsia="Times New Roman"/>
    </w:rPr>
  </w:style>
  <w:style w:type="paragraph" w:styleId="Nagwek">
    <w:name w:val="header"/>
    <w:basedOn w:val="Normalny"/>
    <w:link w:val="NagwekZnak"/>
    <w:uiPriority w:val="99"/>
    <w:unhideWhenUsed/>
    <w:rsid w:val="00A9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2C0"/>
    <w:rPr>
      <w:sz w:val="22"/>
      <w:szCs w:val="22"/>
      <w:lang w:eastAsia="en-US"/>
    </w:rPr>
  </w:style>
  <w:style w:type="paragraph" w:styleId="Stopka">
    <w:name w:val="footer"/>
    <w:basedOn w:val="Normalny"/>
    <w:link w:val="StopkaZnak"/>
    <w:uiPriority w:val="99"/>
    <w:unhideWhenUsed/>
    <w:rsid w:val="00A97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2C0"/>
    <w:rPr>
      <w:sz w:val="22"/>
      <w:szCs w:val="22"/>
      <w:lang w:eastAsia="en-US"/>
    </w:rPr>
  </w:style>
  <w:style w:type="paragraph" w:styleId="NormalnyWeb">
    <w:name w:val="Normal (Web)"/>
    <w:basedOn w:val="Normalny"/>
    <w:unhideWhenUsed/>
    <w:qFormat/>
    <w:rsid w:val="0023425F"/>
    <w:rPr>
      <w:rFonts w:ascii="Times New Roman" w:hAnsi="Times New Roman"/>
      <w:sz w:val="24"/>
      <w:szCs w:val="24"/>
    </w:rPr>
  </w:style>
  <w:style w:type="paragraph" w:styleId="Tekstpodstawowy">
    <w:name w:val="Body Text"/>
    <w:basedOn w:val="Normalny"/>
    <w:link w:val="TekstpodstawowyZnak"/>
    <w:uiPriority w:val="99"/>
    <w:semiHidden/>
    <w:unhideWhenUsed/>
    <w:rsid w:val="00552199"/>
    <w:pPr>
      <w:spacing w:after="120"/>
    </w:pPr>
  </w:style>
  <w:style w:type="character" w:customStyle="1" w:styleId="TekstpodstawowyZnak">
    <w:name w:val="Tekst podstawowy Znak"/>
    <w:basedOn w:val="Domylnaczcionkaakapitu"/>
    <w:link w:val="Tekstpodstawowy"/>
    <w:uiPriority w:val="99"/>
    <w:semiHidden/>
    <w:rsid w:val="00552199"/>
    <w:rPr>
      <w:sz w:val="22"/>
      <w:szCs w:val="22"/>
      <w:lang w:eastAsia="en-US"/>
    </w:rPr>
  </w:style>
  <w:style w:type="paragraph" w:styleId="Tekstpodstawowyzwciciem">
    <w:name w:val="Body Text First Indent"/>
    <w:basedOn w:val="Tekstpodstawowy"/>
    <w:link w:val="TekstpodstawowyzwciciemZnak"/>
    <w:uiPriority w:val="99"/>
    <w:unhideWhenUsed/>
    <w:rsid w:val="00552199"/>
    <w:pPr>
      <w:widowControl w:val="0"/>
      <w:spacing w:after="0" w:line="360" w:lineRule="auto"/>
      <w:ind w:firstLine="360"/>
    </w:pPr>
    <w:rPr>
      <w:rFonts w:ascii="Times New Roman" w:eastAsia="Times New Roman" w:hAnsi="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552199"/>
    <w:rPr>
      <w:rFonts w:ascii="Times New Roman" w:eastAsia="Times New Roman" w:hAnsi="Times New Roman"/>
      <w:sz w:val="24"/>
      <w:szCs w:val="24"/>
      <w:lang w:eastAsia="en-US"/>
    </w:rPr>
  </w:style>
  <w:style w:type="character" w:styleId="Pogrubienie">
    <w:name w:val="Strong"/>
    <w:basedOn w:val="Domylnaczcionkaakapitu"/>
    <w:uiPriority w:val="22"/>
    <w:qFormat/>
    <w:locked/>
    <w:rsid w:val="005B4FA1"/>
    <w:rPr>
      <w:b/>
      <w:bCs/>
    </w:rPr>
  </w:style>
  <w:style w:type="paragraph" w:customStyle="1" w:styleId="Default">
    <w:name w:val="Default"/>
    <w:rsid w:val="00830EF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39">
      <w:bodyDiv w:val="1"/>
      <w:marLeft w:val="0"/>
      <w:marRight w:val="0"/>
      <w:marTop w:val="0"/>
      <w:marBottom w:val="0"/>
      <w:divBdr>
        <w:top w:val="none" w:sz="0" w:space="0" w:color="auto"/>
        <w:left w:val="none" w:sz="0" w:space="0" w:color="auto"/>
        <w:bottom w:val="none" w:sz="0" w:space="0" w:color="auto"/>
        <w:right w:val="none" w:sz="0" w:space="0" w:color="auto"/>
      </w:divBdr>
    </w:div>
    <w:div w:id="68694017">
      <w:bodyDiv w:val="1"/>
      <w:marLeft w:val="0"/>
      <w:marRight w:val="0"/>
      <w:marTop w:val="0"/>
      <w:marBottom w:val="0"/>
      <w:divBdr>
        <w:top w:val="none" w:sz="0" w:space="0" w:color="auto"/>
        <w:left w:val="none" w:sz="0" w:space="0" w:color="auto"/>
        <w:bottom w:val="none" w:sz="0" w:space="0" w:color="auto"/>
        <w:right w:val="none" w:sz="0" w:space="0" w:color="auto"/>
      </w:divBdr>
    </w:div>
    <w:div w:id="369260139">
      <w:bodyDiv w:val="1"/>
      <w:marLeft w:val="0"/>
      <w:marRight w:val="0"/>
      <w:marTop w:val="0"/>
      <w:marBottom w:val="0"/>
      <w:divBdr>
        <w:top w:val="none" w:sz="0" w:space="0" w:color="auto"/>
        <w:left w:val="none" w:sz="0" w:space="0" w:color="auto"/>
        <w:bottom w:val="none" w:sz="0" w:space="0" w:color="auto"/>
        <w:right w:val="none" w:sz="0" w:space="0" w:color="auto"/>
      </w:divBdr>
    </w:div>
    <w:div w:id="389039495">
      <w:bodyDiv w:val="1"/>
      <w:marLeft w:val="0"/>
      <w:marRight w:val="0"/>
      <w:marTop w:val="0"/>
      <w:marBottom w:val="0"/>
      <w:divBdr>
        <w:top w:val="none" w:sz="0" w:space="0" w:color="auto"/>
        <w:left w:val="none" w:sz="0" w:space="0" w:color="auto"/>
        <w:bottom w:val="none" w:sz="0" w:space="0" w:color="auto"/>
        <w:right w:val="none" w:sz="0" w:space="0" w:color="auto"/>
      </w:divBdr>
    </w:div>
    <w:div w:id="483618893">
      <w:bodyDiv w:val="1"/>
      <w:marLeft w:val="0"/>
      <w:marRight w:val="0"/>
      <w:marTop w:val="0"/>
      <w:marBottom w:val="0"/>
      <w:divBdr>
        <w:top w:val="none" w:sz="0" w:space="0" w:color="auto"/>
        <w:left w:val="none" w:sz="0" w:space="0" w:color="auto"/>
        <w:bottom w:val="none" w:sz="0" w:space="0" w:color="auto"/>
        <w:right w:val="none" w:sz="0" w:space="0" w:color="auto"/>
      </w:divBdr>
    </w:div>
    <w:div w:id="575408229">
      <w:bodyDiv w:val="1"/>
      <w:marLeft w:val="0"/>
      <w:marRight w:val="0"/>
      <w:marTop w:val="0"/>
      <w:marBottom w:val="0"/>
      <w:divBdr>
        <w:top w:val="none" w:sz="0" w:space="0" w:color="auto"/>
        <w:left w:val="none" w:sz="0" w:space="0" w:color="auto"/>
        <w:bottom w:val="none" w:sz="0" w:space="0" w:color="auto"/>
        <w:right w:val="none" w:sz="0" w:space="0" w:color="auto"/>
      </w:divBdr>
    </w:div>
    <w:div w:id="721100307">
      <w:bodyDiv w:val="1"/>
      <w:marLeft w:val="0"/>
      <w:marRight w:val="0"/>
      <w:marTop w:val="0"/>
      <w:marBottom w:val="0"/>
      <w:divBdr>
        <w:top w:val="none" w:sz="0" w:space="0" w:color="auto"/>
        <w:left w:val="none" w:sz="0" w:space="0" w:color="auto"/>
        <w:bottom w:val="none" w:sz="0" w:space="0" w:color="auto"/>
        <w:right w:val="none" w:sz="0" w:space="0" w:color="auto"/>
      </w:divBdr>
    </w:div>
    <w:div w:id="801925702">
      <w:bodyDiv w:val="1"/>
      <w:marLeft w:val="0"/>
      <w:marRight w:val="0"/>
      <w:marTop w:val="0"/>
      <w:marBottom w:val="0"/>
      <w:divBdr>
        <w:top w:val="none" w:sz="0" w:space="0" w:color="auto"/>
        <w:left w:val="none" w:sz="0" w:space="0" w:color="auto"/>
        <w:bottom w:val="none" w:sz="0" w:space="0" w:color="auto"/>
        <w:right w:val="none" w:sz="0" w:space="0" w:color="auto"/>
      </w:divBdr>
    </w:div>
    <w:div w:id="825820405">
      <w:bodyDiv w:val="1"/>
      <w:marLeft w:val="0"/>
      <w:marRight w:val="0"/>
      <w:marTop w:val="0"/>
      <w:marBottom w:val="0"/>
      <w:divBdr>
        <w:top w:val="none" w:sz="0" w:space="0" w:color="auto"/>
        <w:left w:val="none" w:sz="0" w:space="0" w:color="auto"/>
        <w:bottom w:val="none" w:sz="0" w:space="0" w:color="auto"/>
        <w:right w:val="none" w:sz="0" w:space="0" w:color="auto"/>
      </w:divBdr>
    </w:div>
    <w:div w:id="841626326">
      <w:bodyDiv w:val="1"/>
      <w:marLeft w:val="0"/>
      <w:marRight w:val="0"/>
      <w:marTop w:val="0"/>
      <w:marBottom w:val="0"/>
      <w:divBdr>
        <w:top w:val="none" w:sz="0" w:space="0" w:color="auto"/>
        <w:left w:val="none" w:sz="0" w:space="0" w:color="auto"/>
        <w:bottom w:val="none" w:sz="0" w:space="0" w:color="auto"/>
        <w:right w:val="none" w:sz="0" w:space="0" w:color="auto"/>
      </w:divBdr>
    </w:div>
    <w:div w:id="928582933">
      <w:bodyDiv w:val="1"/>
      <w:marLeft w:val="0"/>
      <w:marRight w:val="0"/>
      <w:marTop w:val="0"/>
      <w:marBottom w:val="0"/>
      <w:divBdr>
        <w:top w:val="none" w:sz="0" w:space="0" w:color="auto"/>
        <w:left w:val="none" w:sz="0" w:space="0" w:color="auto"/>
        <w:bottom w:val="none" w:sz="0" w:space="0" w:color="auto"/>
        <w:right w:val="none" w:sz="0" w:space="0" w:color="auto"/>
      </w:divBdr>
    </w:div>
    <w:div w:id="931670944">
      <w:bodyDiv w:val="1"/>
      <w:marLeft w:val="0"/>
      <w:marRight w:val="0"/>
      <w:marTop w:val="0"/>
      <w:marBottom w:val="0"/>
      <w:divBdr>
        <w:top w:val="none" w:sz="0" w:space="0" w:color="auto"/>
        <w:left w:val="none" w:sz="0" w:space="0" w:color="auto"/>
        <w:bottom w:val="none" w:sz="0" w:space="0" w:color="auto"/>
        <w:right w:val="none" w:sz="0" w:space="0" w:color="auto"/>
      </w:divBdr>
    </w:div>
    <w:div w:id="951936732">
      <w:bodyDiv w:val="1"/>
      <w:marLeft w:val="0"/>
      <w:marRight w:val="0"/>
      <w:marTop w:val="0"/>
      <w:marBottom w:val="0"/>
      <w:divBdr>
        <w:top w:val="none" w:sz="0" w:space="0" w:color="auto"/>
        <w:left w:val="none" w:sz="0" w:space="0" w:color="auto"/>
        <w:bottom w:val="none" w:sz="0" w:space="0" w:color="auto"/>
        <w:right w:val="none" w:sz="0" w:space="0" w:color="auto"/>
      </w:divBdr>
    </w:div>
    <w:div w:id="966466534">
      <w:bodyDiv w:val="1"/>
      <w:marLeft w:val="0"/>
      <w:marRight w:val="0"/>
      <w:marTop w:val="0"/>
      <w:marBottom w:val="0"/>
      <w:divBdr>
        <w:top w:val="none" w:sz="0" w:space="0" w:color="auto"/>
        <w:left w:val="none" w:sz="0" w:space="0" w:color="auto"/>
        <w:bottom w:val="none" w:sz="0" w:space="0" w:color="auto"/>
        <w:right w:val="none" w:sz="0" w:space="0" w:color="auto"/>
      </w:divBdr>
    </w:div>
    <w:div w:id="1034160008">
      <w:marLeft w:val="0"/>
      <w:marRight w:val="0"/>
      <w:marTop w:val="0"/>
      <w:marBottom w:val="0"/>
      <w:divBdr>
        <w:top w:val="none" w:sz="0" w:space="0" w:color="auto"/>
        <w:left w:val="none" w:sz="0" w:space="0" w:color="auto"/>
        <w:bottom w:val="none" w:sz="0" w:space="0" w:color="auto"/>
        <w:right w:val="none" w:sz="0" w:space="0" w:color="auto"/>
      </w:divBdr>
    </w:div>
    <w:div w:id="1034160009">
      <w:marLeft w:val="0"/>
      <w:marRight w:val="0"/>
      <w:marTop w:val="0"/>
      <w:marBottom w:val="0"/>
      <w:divBdr>
        <w:top w:val="none" w:sz="0" w:space="0" w:color="auto"/>
        <w:left w:val="none" w:sz="0" w:space="0" w:color="auto"/>
        <w:bottom w:val="none" w:sz="0" w:space="0" w:color="auto"/>
        <w:right w:val="none" w:sz="0" w:space="0" w:color="auto"/>
      </w:divBdr>
    </w:div>
    <w:div w:id="1034160010">
      <w:marLeft w:val="0"/>
      <w:marRight w:val="0"/>
      <w:marTop w:val="0"/>
      <w:marBottom w:val="0"/>
      <w:divBdr>
        <w:top w:val="none" w:sz="0" w:space="0" w:color="auto"/>
        <w:left w:val="none" w:sz="0" w:space="0" w:color="auto"/>
        <w:bottom w:val="none" w:sz="0" w:space="0" w:color="auto"/>
        <w:right w:val="none" w:sz="0" w:space="0" w:color="auto"/>
      </w:divBdr>
    </w:div>
    <w:div w:id="1227490672">
      <w:bodyDiv w:val="1"/>
      <w:marLeft w:val="0"/>
      <w:marRight w:val="0"/>
      <w:marTop w:val="0"/>
      <w:marBottom w:val="0"/>
      <w:divBdr>
        <w:top w:val="none" w:sz="0" w:space="0" w:color="auto"/>
        <w:left w:val="none" w:sz="0" w:space="0" w:color="auto"/>
        <w:bottom w:val="none" w:sz="0" w:space="0" w:color="auto"/>
        <w:right w:val="none" w:sz="0" w:space="0" w:color="auto"/>
      </w:divBdr>
    </w:div>
    <w:div w:id="1240410295">
      <w:bodyDiv w:val="1"/>
      <w:marLeft w:val="0"/>
      <w:marRight w:val="0"/>
      <w:marTop w:val="0"/>
      <w:marBottom w:val="0"/>
      <w:divBdr>
        <w:top w:val="none" w:sz="0" w:space="0" w:color="auto"/>
        <w:left w:val="none" w:sz="0" w:space="0" w:color="auto"/>
        <w:bottom w:val="none" w:sz="0" w:space="0" w:color="auto"/>
        <w:right w:val="none" w:sz="0" w:space="0" w:color="auto"/>
      </w:divBdr>
    </w:div>
    <w:div w:id="1304891613">
      <w:bodyDiv w:val="1"/>
      <w:marLeft w:val="0"/>
      <w:marRight w:val="0"/>
      <w:marTop w:val="0"/>
      <w:marBottom w:val="0"/>
      <w:divBdr>
        <w:top w:val="none" w:sz="0" w:space="0" w:color="auto"/>
        <w:left w:val="none" w:sz="0" w:space="0" w:color="auto"/>
        <w:bottom w:val="none" w:sz="0" w:space="0" w:color="auto"/>
        <w:right w:val="none" w:sz="0" w:space="0" w:color="auto"/>
      </w:divBdr>
    </w:div>
    <w:div w:id="1400012419">
      <w:bodyDiv w:val="1"/>
      <w:marLeft w:val="0"/>
      <w:marRight w:val="0"/>
      <w:marTop w:val="0"/>
      <w:marBottom w:val="0"/>
      <w:divBdr>
        <w:top w:val="none" w:sz="0" w:space="0" w:color="auto"/>
        <w:left w:val="none" w:sz="0" w:space="0" w:color="auto"/>
        <w:bottom w:val="none" w:sz="0" w:space="0" w:color="auto"/>
        <w:right w:val="none" w:sz="0" w:space="0" w:color="auto"/>
      </w:divBdr>
    </w:div>
    <w:div w:id="1489788211">
      <w:bodyDiv w:val="1"/>
      <w:marLeft w:val="0"/>
      <w:marRight w:val="0"/>
      <w:marTop w:val="0"/>
      <w:marBottom w:val="0"/>
      <w:divBdr>
        <w:top w:val="none" w:sz="0" w:space="0" w:color="auto"/>
        <w:left w:val="none" w:sz="0" w:space="0" w:color="auto"/>
        <w:bottom w:val="none" w:sz="0" w:space="0" w:color="auto"/>
        <w:right w:val="none" w:sz="0" w:space="0" w:color="auto"/>
      </w:divBdr>
    </w:div>
    <w:div w:id="1493716046">
      <w:bodyDiv w:val="1"/>
      <w:marLeft w:val="0"/>
      <w:marRight w:val="0"/>
      <w:marTop w:val="0"/>
      <w:marBottom w:val="0"/>
      <w:divBdr>
        <w:top w:val="none" w:sz="0" w:space="0" w:color="auto"/>
        <w:left w:val="none" w:sz="0" w:space="0" w:color="auto"/>
        <w:bottom w:val="none" w:sz="0" w:space="0" w:color="auto"/>
        <w:right w:val="none" w:sz="0" w:space="0" w:color="auto"/>
      </w:divBdr>
    </w:div>
    <w:div w:id="1586114782">
      <w:bodyDiv w:val="1"/>
      <w:marLeft w:val="0"/>
      <w:marRight w:val="0"/>
      <w:marTop w:val="0"/>
      <w:marBottom w:val="0"/>
      <w:divBdr>
        <w:top w:val="none" w:sz="0" w:space="0" w:color="auto"/>
        <w:left w:val="none" w:sz="0" w:space="0" w:color="auto"/>
        <w:bottom w:val="none" w:sz="0" w:space="0" w:color="auto"/>
        <w:right w:val="none" w:sz="0" w:space="0" w:color="auto"/>
      </w:divBdr>
    </w:div>
    <w:div w:id="1646546923">
      <w:bodyDiv w:val="1"/>
      <w:marLeft w:val="0"/>
      <w:marRight w:val="0"/>
      <w:marTop w:val="0"/>
      <w:marBottom w:val="0"/>
      <w:divBdr>
        <w:top w:val="none" w:sz="0" w:space="0" w:color="auto"/>
        <w:left w:val="none" w:sz="0" w:space="0" w:color="auto"/>
        <w:bottom w:val="none" w:sz="0" w:space="0" w:color="auto"/>
        <w:right w:val="none" w:sz="0" w:space="0" w:color="auto"/>
      </w:divBdr>
    </w:div>
    <w:div w:id="1732578907">
      <w:bodyDiv w:val="1"/>
      <w:marLeft w:val="0"/>
      <w:marRight w:val="0"/>
      <w:marTop w:val="0"/>
      <w:marBottom w:val="0"/>
      <w:divBdr>
        <w:top w:val="none" w:sz="0" w:space="0" w:color="auto"/>
        <w:left w:val="none" w:sz="0" w:space="0" w:color="auto"/>
        <w:bottom w:val="none" w:sz="0" w:space="0" w:color="auto"/>
        <w:right w:val="none" w:sz="0" w:space="0" w:color="auto"/>
      </w:divBdr>
    </w:div>
    <w:div w:id="1758139375">
      <w:bodyDiv w:val="1"/>
      <w:marLeft w:val="0"/>
      <w:marRight w:val="0"/>
      <w:marTop w:val="0"/>
      <w:marBottom w:val="0"/>
      <w:divBdr>
        <w:top w:val="none" w:sz="0" w:space="0" w:color="auto"/>
        <w:left w:val="none" w:sz="0" w:space="0" w:color="auto"/>
        <w:bottom w:val="none" w:sz="0" w:space="0" w:color="auto"/>
        <w:right w:val="none" w:sz="0" w:space="0" w:color="auto"/>
      </w:divBdr>
    </w:div>
    <w:div w:id="1822428171">
      <w:bodyDiv w:val="1"/>
      <w:marLeft w:val="0"/>
      <w:marRight w:val="0"/>
      <w:marTop w:val="0"/>
      <w:marBottom w:val="0"/>
      <w:divBdr>
        <w:top w:val="none" w:sz="0" w:space="0" w:color="auto"/>
        <w:left w:val="none" w:sz="0" w:space="0" w:color="auto"/>
        <w:bottom w:val="none" w:sz="0" w:space="0" w:color="auto"/>
        <w:right w:val="none" w:sz="0" w:space="0" w:color="auto"/>
      </w:divBdr>
    </w:div>
    <w:div w:id="1866867062">
      <w:bodyDiv w:val="1"/>
      <w:marLeft w:val="0"/>
      <w:marRight w:val="0"/>
      <w:marTop w:val="0"/>
      <w:marBottom w:val="0"/>
      <w:divBdr>
        <w:top w:val="none" w:sz="0" w:space="0" w:color="auto"/>
        <w:left w:val="none" w:sz="0" w:space="0" w:color="auto"/>
        <w:bottom w:val="none" w:sz="0" w:space="0" w:color="auto"/>
        <w:right w:val="none" w:sz="0" w:space="0" w:color="auto"/>
      </w:divBdr>
    </w:div>
    <w:div w:id="2027242440">
      <w:bodyDiv w:val="1"/>
      <w:marLeft w:val="0"/>
      <w:marRight w:val="0"/>
      <w:marTop w:val="0"/>
      <w:marBottom w:val="0"/>
      <w:divBdr>
        <w:top w:val="none" w:sz="0" w:space="0" w:color="auto"/>
        <w:left w:val="none" w:sz="0" w:space="0" w:color="auto"/>
        <w:bottom w:val="none" w:sz="0" w:space="0" w:color="auto"/>
        <w:right w:val="none" w:sz="0" w:space="0" w:color="auto"/>
      </w:divBdr>
    </w:div>
    <w:div w:id="21343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C6D0-37AD-47F3-BD37-80C10992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34129</Words>
  <Characters>229582</Characters>
  <Application>Microsoft Office Word</Application>
  <DocSecurity>0</DocSecurity>
  <Lines>1913</Lines>
  <Paragraphs>526</Paragraphs>
  <ScaleCrop>false</ScaleCrop>
  <HeadingPairs>
    <vt:vector size="2" baseType="variant">
      <vt:variant>
        <vt:lpstr>Tytuł</vt:lpstr>
      </vt:variant>
      <vt:variant>
        <vt:i4>1</vt:i4>
      </vt:variant>
    </vt:vector>
  </HeadingPairs>
  <TitlesOfParts>
    <vt:vector size="1" baseType="lpstr">
      <vt:lpstr>Uzasadnienie:</vt:lpstr>
    </vt:vector>
  </TitlesOfParts>
  <Company>MRR</Company>
  <LinksUpToDate>false</LinksUpToDate>
  <CharactersWithSpaces>263185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Terlikowska Małgorzata</dc:creator>
  <cp:lastModifiedBy>Andrzej Guzowski</cp:lastModifiedBy>
  <cp:revision>2</cp:revision>
  <dcterms:created xsi:type="dcterms:W3CDTF">2020-03-21T00:42:00Z</dcterms:created>
  <dcterms:modified xsi:type="dcterms:W3CDTF">2020-03-21T00:42:00Z</dcterms:modified>
</cp:coreProperties>
</file>